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5450"/>
      </w:tblGrid>
      <w:tr w:rsidR="003043DC" w:rsidTr="004713BA">
        <w:tc>
          <w:tcPr>
            <w:tcW w:w="3114" w:type="dxa"/>
          </w:tcPr>
          <w:p w:rsidR="003043DC" w:rsidRDefault="003043DC" w:rsidP="004713BA">
            <w:pPr>
              <w:spacing w:before="100" w:beforeAutospacing="1" w:after="100" w:afterAutospacing="1"/>
              <w:jc w:val="both"/>
              <w:rPr>
                <w:rFonts w:cs="Arial"/>
                <w:b/>
                <w:szCs w:val="24"/>
              </w:rPr>
            </w:pPr>
            <w:r>
              <w:rPr>
                <w:rFonts w:cs="Arial"/>
                <w:b/>
                <w:noProof/>
                <w:szCs w:val="24"/>
                <w:lang w:eastAsia="en-GB"/>
              </w:rPr>
              <w:drawing>
                <wp:inline distT="0" distB="0" distL="0" distR="0" wp14:anchorId="63D517F8" wp14:editId="01057F45">
                  <wp:extent cx="2132574" cy="73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COT logo.jpg"/>
                          <pic:cNvPicPr/>
                        </pic:nvPicPr>
                        <pic:blipFill>
                          <a:blip r:embed="rId11">
                            <a:extLst>
                              <a:ext uri="{28A0092B-C50C-407E-A947-70E740481C1C}">
                                <a14:useLocalDpi xmlns:a14="http://schemas.microsoft.com/office/drawing/2010/main" val="0"/>
                              </a:ext>
                            </a:extLst>
                          </a:blip>
                          <a:stretch>
                            <a:fillRect/>
                          </a:stretch>
                        </pic:blipFill>
                        <pic:spPr>
                          <a:xfrm>
                            <a:off x="0" y="0"/>
                            <a:ext cx="2134147" cy="733966"/>
                          </a:xfrm>
                          <a:prstGeom prst="rect">
                            <a:avLst/>
                          </a:prstGeom>
                        </pic:spPr>
                      </pic:pic>
                    </a:graphicData>
                  </a:graphic>
                </wp:inline>
              </w:drawing>
            </w:r>
          </w:p>
        </w:tc>
        <w:tc>
          <w:tcPr>
            <w:tcW w:w="6174" w:type="dxa"/>
          </w:tcPr>
          <w:p w:rsidR="003043DC" w:rsidRDefault="003043DC" w:rsidP="00A81FAA">
            <w:pPr>
              <w:spacing w:before="100" w:beforeAutospacing="1" w:after="100" w:afterAutospacing="1"/>
              <w:rPr>
                <w:rFonts w:cs="Arial"/>
                <w:b/>
                <w:szCs w:val="24"/>
              </w:rPr>
            </w:pPr>
            <w:r w:rsidRPr="00F86600">
              <w:rPr>
                <w:rFonts w:cs="Arial"/>
                <w:b/>
                <w:szCs w:val="24"/>
              </w:rPr>
              <w:t>MINUTES OF THE</w:t>
            </w:r>
            <w:r w:rsidR="001B585F">
              <w:rPr>
                <w:rFonts w:cs="Arial"/>
                <w:b/>
                <w:szCs w:val="24"/>
              </w:rPr>
              <w:t xml:space="preserve"> </w:t>
            </w:r>
            <w:r w:rsidR="002B0E5F">
              <w:rPr>
                <w:rFonts w:cs="Arial"/>
                <w:b/>
                <w:szCs w:val="24"/>
              </w:rPr>
              <w:t>CURRICULUM AND QUALITY</w:t>
            </w:r>
            <w:r w:rsidR="005F72EB">
              <w:rPr>
                <w:rFonts w:cs="Arial"/>
                <w:b/>
                <w:szCs w:val="24"/>
              </w:rPr>
              <w:t xml:space="preserve"> COMMI</w:t>
            </w:r>
            <w:r w:rsidR="001B585F">
              <w:rPr>
                <w:rFonts w:cs="Arial"/>
                <w:b/>
                <w:szCs w:val="24"/>
              </w:rPr>
              <w:t>TTEE OF THE</w:t>
            </w:r>
            <w:r w:rsidRPr="00F86600">
              <w:rPr>
                <w:rFonts w:cs="Arial"/>
                <w:b/>
                <w:szCs w:val="24"/>
              </w:rPr>
              <w:t xml:space="preserve"> NORTH EAST SURREY COLLEGE OF TECHNOLOGY FURTHER EDUCATION CORPORATION HELD ON</w:t>
            </w:r>
            <w:r w:rsidR="002B0E5F">
              <w:rPr>
                <w:rFonts w:cs="Arial"/>
                <w:b/>
                <w:szCs w:val="24"/>
              </w:rPr>
              <w:t xml:space="preserve"> </w:t>
            </w:r>
            <w:r w:rsidR="00A81FAA">
              <w:rPr>
                <w:rFonts w:cs="Arial"/>
                <w:b/>
                <w:szCs w:val="24"/>
              </w:rPr>
              <w:t xml:space="preserve">WEDNESDAY 09 NOVEMBER </w:t>
            </w:r>
            <w:r w:rsidR="007D7AFB">
              <w:rPr>
                <w:rFonts w:cs="Arial"/>
                <w:b/>
                <w:szCs w:val="24"/>
              </w:rPr>
              <w:t>2016</w:t>
            </w:r>
            <w:r w:rsidR="001B585F">
              <w:rPr>
                <w:rFonts w:cs="Arial"/>
                <w:b/>
                <w:szCs w:val="24"/>
              </w:rPr>
              <w:t xml:space="preserve"> AT </w:t>
            </w:r>
            <w:r w:rsidR="0042232F">
              <w:rPr>
                <w:rFonts w:cs="Arial"/>
                <w:b/>
                <w:szCs w:val="24"/>
              </w:rPr>
              <w:t>18.00</w:t>
            </w:r>
            <w:r>
              <w:rPr>
                <w:rFonts w:cs="Arial"/>
                <w:b/>
                <w:szCs w:val="24"/>
              </w:rPr>
              <w:t xml:space="preserve"> IN THE </w:t>
            </w:r>
            <w:r w:rsidR="008B1A02">
              <w:rPr>
                <w:rFonts w:cs="Arial"/>
                <w:b/>
                <w:szCs w:val="24"/>
              </w:rPr>
              <w:t xml:space="preserve">SKILLS PARK </w:t>
            </w:r>
            <w:r>
              <w:rPr>
                <w:rFonts w:cs="Arial"/>
                <w:b/>
                <w:szCs w:val="24"/>
              </w:rPr>
              <w:t xml:space="preserve">BOARD ROOM. </w:t>
            </w:r>
            <w:r>
              <w:rPr>
                <w:rFonts w:cs="Arial"/>
                <w:b/>
                <w:szCs w:val="24"/>
              </w:rPr>
              <w:br/>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2124"/>
        <w:gridCol w:w="1801"/>
        <w:gridCol w:w="5040"/>
        <w:gridCol w:w="18"/>
      </w:tblGrid>
      <w:tr w:rsidR="00696A93" w:rsidRPr="00F86600" w:rsidTr="00B240BC">
        <w:trPr>
          <w:gridBefore w:val="1"/>
          <w:wBefore w:w="18" w:type="pct"/>
        </w:trPr>
        <w:tc>
          <w:tcPr>
            <w:tcW w:w="2177" w:type="pct"/>
            <w:gridSpan w:val="2"/>
            <w:tcBorders>
              <w:bottom w:val="nil"/>
            </w:tcBorders>
            <w:shd w:val="clear" w:color="auto" w:fill="D9D9D9"/>
          </w:tcPr>
          <w:p w:rsidR="00696A93" w:rsidRPr="006B46AD" w:rsidRDefault="00672F27" w:rsidP="007E7D52">
            <w:pPr>
              <w:keepLines/>
              <w:spacing w:before="100" w:beforeAutospacing="1" w:after="100" w:afterAutospacing="1" w:line="240" w:lineRule="auto"/>
              <w:jc w:val="both"/>
              <w:rPr>
                <w:rFonts w:cs="Arial"/>
                <w:b/>
                <w:szCs w:val="24"/>
              </w:rPr>
            </w:pPr>
            <w:r>
              <w:rPr>
                <w:rFonts w:cs="Arial"/>
                <w:b/>
                <w:szCs w:val="24"/>
              </w:rPr>
              <w:t xml:space="preserve"> </w:t>
            </w:r>
            <w:r w:rsidR="00696A93" w:rsidRPr="006B46AD">
              <w:rPr>
                <w:rFonts w:cs="Arial"/>
                <w:b/>
                <w:szCs w:val="24"/>
              </w:rPr>
              <w:t>PRESENT</w:t>
            </w:r>
            <w:r w:rsidR="00941BD4">
              <w:rPr>
                <w:rFonts w:cs="Arial"/>
                <w:b/>
                <w:szCs w:val="24"/>
              </w:rPr>
              <w:t xml:space="preserve"> </w:t>
            </w:r>
            <w:r w:rsidR="00941BD4" w:rsidRPr="00941BD4">
              <w:rPr>
                <w:rFonts w:cs="Arial"/>
                <w:b/>
                <w:szCs w:val="24"/>
                <w:vertAlign w:val="superscript"/>
              </w:rPr>
              <w:t>1</w:t>
            </w:r>
          </w:p>
        </w:tc>
        <w:tc>
          <w:tcPr>
            <w:tcW w:w="2805" w:type="pct"/>
            <w:gridSpan w:val="2"/>
            <w:tcBorders>
              <w:bottom w:val="nil"/>
            </w:tcBorders>
            <w:shd w:val="clear" w:color="auto" w:fill="D9D9D9"/>
          </w:tcPr>
          <w:p w:rsidR="00696A93" w:rsidRPr="006B46AD" w:rsidRDefault="00696A93" w:rsidP="007E7D52">
            <w:pPr>
              <w:keepLines/>
              <w:spacing w:before="100" w:beforeAutospacing="1" w:after="100" w:afterAutospacing="1" w:line="240" w:lineRule="auto"/>
              <w:jc w:val="both"/>
              <w:rPr>
                <w:rFonts w:cs="Arial"/>
                <w:b/>
                <w:szCs w:val="24"/>
              </w:rPr>
            </w:pPr>
            <w:r w:rsidRPr="006B46AD">
              <w:rPr>
                <w:rFonts w:cs="Arial"/>
                <w:b/>
                <w:szCs w:val="24"/>
              </w:rPr>
              <w:t>IN ATTENDANCE</w:t>
            </w:r>
          </w:p>
        </w:tc>
      </w:tr>
      <w:tr w:rsidR="003043DC" w:rsidRPr="00F86600" w:rsidTr="00B240BC">
        <w:trPr>
          <w:gridBefore w:val="1"/>
          <w:wBefore w:w="18" w:type="pct"/>
        </w:trPr>
        <w:tc>
          <w:tcPr>
            <w:tcW w:w="2177" w:type="pct"/>
            <w:gridSpan w:val="2"/>
            <w:tcBorders>
              <w:top w:val="nil"/>
              <w:bottom w:val="single" w:sz="4" w:space="0" w:color="auto"/>
            </w:tcBorders>
          </w:tcPr>
          <w:p w:rsidR="008B1A02" w:rsidRDefault="002B0E5F" w:rsidP="00A81FAA">
            <w:pPr>
              <w:keepLines/>
              <w:spacing w:after="0" w:line="240" w:lineRule="auto"/>
              <w:jc w:val="both"/>
              <w:rPr>
                <w:rFonts w:cs="Arial"/>
                <w:szCs w:val="24"/>
              </w:rPr>
            </w:pPr>
            <w:r>
              <w:rPr>
                <w:rFonts w:cs="Arial"/>
                <w:szCs w:val="24"/>
              </w:rPr>
              <w:t xml:space="preserve">Chris Muller </w:t>
            </w:r>
            <w:r w:rsidR="003043DC">
              <w:rPr>
                <w:rFonts w:cs="Arial"/>
                <w:szCs w:val="24"/>
              </w:rPr>
              <w:t>(Chair)</w:t>
            </w:r>
          </w:p>
          <w:p w:rsidR="00A81FAA" w:rsidRDefault="008B1A02" w:rsidP="001B585F">
            <w:pPr>
              <w:keepLines/>
              <w:spacing w:after="0" w:line="240" w:lineRule="auto"/>
              <w:rPr>
                <w:rFonts w:cs="Arial"/>
                <w:szCs w:val="24"/>
              </w:rPr>
            </w:pPr>
            <w:r>
              <w:rPr>
                <w:rFonts w:cs="Arial"/>
                <w:szCs w:val="24"/>
              </w:rPr>
              <w:t>Lance Finn</w:t>
            </w:r>
          </w:p>
          <w:p w:rsidR="00A81FAA" w:rsidRDefault="00A81FAA" w:rsidP="001B585F">
            <w:pPr>
              <w:keepLines/>
              <w:spacing w:after="0" w:line="240" w:lineRule="auto"/>
              <w:rPr>
                <w:rFonts w:cs="Arial"/>
                <w:szCs w:val="24"/>
              </w:rPr>
            </w:pPr>
            <w:r>
              <w:rPr>
                <w:rFonts w:cs="Arial"/>
                <w:szCs w:val="24"/>
              </w:rPr>
              <w:t>Lynn Reddick</w:t>
            </w:r>
          </w:p>
          <w:p w:rsidR="008B1A02" w:rsidRDefault="00A81FAA" w:rsidP="001B585F">
            <w:pPr>
              <w:keepLines/>
              <w:spacing w:after="0" w:line="240" w:lineRule="auto"/>
              <w:rPr>
                <w:rFonts w:cs="Arial"/>
                <w:szCs w:val="24"/>
              </w:rPr>
            </w:pPr>
            <w:r>
              <w:rPr>
                <w:rFonts w:cs="Arial"/>
                <w:szCs w:val="24"/>
              </w:rPr>
              <w:t>Cliff Hall</w:t>
            </w:r>
            <w:r>
              <w:rPr>
                <w:rFonts w:cs="Arial"/>
                <w:szCs w:val="24"/>
              </w:rPr>
              <w:br/>
            </w:r>
            <w:r w:rsidR="008B1A02">
              <w:rPr>
                <w:rFonts w:cs="Arial"/>
                <w:szCs w:val="24"/>
              </w:rPr>
              <w:t>Mike Broadbent (HE Student Governor)</w:t>
            </w:r>
          </w:p>
          <w:p w:rsidR="008B1A02" w:rsidRDefault="008B1A02" w:rsidP="001B585F">
            <w:pPr>
              <w:keepLines/>
              <w:spacing w:after="0" w:line="240" w:lineRule="auto"/>
              <w:rPr>
                <w:rFonts w:cs="Arial"/>
                <w:szCs w:val="24"/>
              </w:rPr>
            </w:pPr>
            <w:r>
              <w:rPr>
                <w:rFonts w:cs="Arial"/>
                <w:szCs w:val="24"/>
              </w:rPr>
              <w:t>Josh Spooner (FE Student Governor)</w:t>
            </w:r>
          </w:p>
          <w:p w:rsidR="00941BD4" w:rsidRDefault="00941BD4" w:rsidP="001B585F">
            <w:pPr>
              <w:keepLines/>
              <w:spacing w:after="0" w:line="240" w:lineRule="auto"/>
              <w:rPr>
                <w:rFonts w:cs="Arial"/>
                <w:szCs w:val="24"/>
              </w:rPr>
            </w:pPr>
          </w:p>
          <w:p w:rsidR="00941BD4" w:rsidRDefault="00941BD4" w:rsidP="001B585F">
            <w:pPr>
              <w:keepLines/>
              <w:spacing w:after="0" w:line="240" w:lineRule="auto"/>
              <w:rPr>
                <w:rFonts w:cs="Arial"/>
                <w:szCs w:val="24"/>
              </w:rPr>
            </w:pPr>
          </w:p>
          <w:p w:rsidR="00941BD4" w:rsidRPr="00941BD4" w:rsidRDefault="00941BD4" w:rsidP="008B1A02">
            <w:pPr>
              <w:keepLines/>
              <w:spacing w:after="0" w:line="240" w:lineRule="auto"/>
              <w:rPr>
                <w:rFonts w:cs="Arial"/>
                <w:szCs w:val="24"/>
              </w:rPr>
            </w:pPr>
            <w:r w:rsidRPr="00941BD4">
              <w:rPr>
                <w:rFonts w:cs="Arial"/>
                <w:b/>
                <w:szCs w:val="24"/>
                <w:vertAlign w:val="superscript"/>
              </w:rPr>
              <w:t>1</w:t>
            </w:r>
            <w:r>
              <w:rPr>
                <w:rFonts w:cs="Arial"/>
                <w:b/>
                <w:szCs w:val="24"/>
                <w:vertAlign w:val="superscript"/>
              </w:rPr>
              <w:t xml:space="preserve"> </w:t>
            </w:r>
            <w:r>
              <w:rPr>
                <w:rFonts w:cs="Arial"/>
                <w:b/>
                <w:szCs w:val="24"/>
              </w:rPr>
              <w:t xml:space="preserve">Attendance = </w:t>
            </w:r>
            <w:r w:rsidR="00A81FAA">
              <w:rPr>
                <w:rFonts w:cs="Arial"/>
                <w:b/>
                <w:szCs w:val="24"/>
              </w:rPr>
              <w:t>86</w:t>
            </w:r>
            <w:r>
              <w:rPr>
                <w:rFonts w:cs="Arial"/>
                <w:b/>
                <w:szCs w:val="24"/>
              </w:rPr>
              <w:t>%</w:t>
            </w:r>
          </w:p>
        </w:tc>
        <w:tc>
          <w:tcPr>
            <w:tcW w:w="2805" w:type="pct"/>
            <w:gridSpan w:val="2"/>
            <w:tcBorders>
              <w:top w:val="nil"/>
              <w:bottom w:val="single" w:sz="4" w:space="0" w:color="auto"/>
            </w:tcBorders>
          </w:tcPr>
          <w:p w:rsidR="002B0E5F" w:rsidRDefault="002B0E5F" w:rsidP="001B585F">
            <w:pPr>
              <w:keepLines/>
              <w:spacing w:after="0" w:line="240" w:lineRule="auto"/>
              <w:rPr>
                <w:rFonts w:cs="Arial"/>
                <w:szCs w:val="24"/>
              </w:rPr>
            </w:pPr>
            <w:r>
              <w:rPr>
                <w:rFonts w:cs="Arial"/>
                <w:szCs w:val="24"/>
              </w:rPr>
              <w:t>F</w:t>
            </w:r>
            <w:r w:rsidR="004833B1">
              <w:rPr>
                <w:rFonts w:cs="Arial"/>
                <w:szCs w:val="24"/>
              </w:rPr>
              <w:t>red</w:t>
            </w:r>
            <w:r>
              <w:rPr>
                <w:rFonts w:cs="Arial"/>
                <w:szCs w:val="24"/>
              </w:rPr>
              <w:t xml:space="preserve"> Carter – </w:t>
            </w:r>
            <w:r w:rsidR="008B1A02">
              <w:rPr>
                <w:rFonts w:cs="Arial"/>
                <w:szCs w:val="24"/>
              </w:rPr>
              <w:t>Vice Principal</w:t>
            </w:r>
          </w:p>
          <w:p w:rsidR="008B1A02" w:rsidRDefault="0042232F" w:rsidP="001B585F">
            <w:pPr>
              <w:keepLines/>
              <w:spacing w:after="0" w:line="240" w:lineRule="auto"/>
              <w:rPr>
                <w:rFonts w:cs="Arial"/>
                <w:szCs w:val="24"/>
              </w:rPr>
            </w:pPr>
            <w:r w:rsidRPr="000E3EFE">
              <w:rPr>
                <w:rFonts w:cs="Arial"/>
                <w:szCs w:val="24"/>
              </w:rPr>
              <w:t>Mark Hillman – Assistant Principal</w:t>
            </w:r>
            <w:r w:rsidR="008B1A02">
              <w:rPr>
                <w:rFonts w:cs="Arial"/>
                <w:szCs w:val="24"/>
              </w:rPr>
              <w:t xml:space="preserve"> </w:t>
            </w:r>
            <w:r w:rsidR="008B1A02">
              <w:rPr>
                <w:rFonts w:cs="Arial"/>
                <w:szCs w:val="24"/>
              </w:rPr>
              <w:br/>
              <w:t>Dario Stevens – Vice Principal</w:t>
            </w:r>
          </w:p>
          <w:p w:rsidR="002B0E5F" w:rsidRPr="00F86600" w:rsidRDefault="00A81FAA" w:rsidP="001B585F">
            <w:pPr>
              <w:keepLines/>
              <w:spacing w:after="0" w:line="240" w:lineRule="auto"/>
              <w:rPr>
                <w:rFonts w:cs="Arial"/>
                <w:szCs w:val="24"/>
              </w:rPr>
            </w:pPr>
            <w:r>
              <w:rPr>
                <w:rFonts w:cs="Arial"/>
                <w:szCs w:val="24"/>
              </w:rPr>
              <w:br/>
            </w:r>
            <w:r w:rsidR="002B0E5F">
              <w:rPr>
                <w:rFonts w:cs="Arial"/>
                <w:szCs w:val="24"/>
              </w:rPr>
              <w:t>D</w:t>
            </w:r>
            <w:r w:rsidR="004833B1">
              <w:rPr>
                <w:rFonts w:cs="Arial"/>
                <w:szCs w:val="24"/>
              </w:rPr>
              <w:t>avid</w:t>
            </w:r>
            <w:r w:rsidR="002B0E5F">
              <w:rPr>
                <w:rFonts w:cs="Arial"/>
                <w:szCs w:val="24"/>
              </w:rPr>
              <w:t xml:space="preserve"> Round  - Cler</w:t>
            </w:r>
            <w:r w:rsidR="004833B1">
              <w:rPr>
                <w:rFonts w:cs="Arial"/>
                <w:szCs w:val="24"/>
              </w:rPr>
              <w:t>k to the Corporation</w:t>
            </w:r>
          </w:p>
        </w:tc>
      </w:tr>
      <w:tr w:rsidR="00F2757D" w:rsidRPr="00F86600" w:rsidTr="00B240BC">
        <w:trPr>
          <w:gridBefore w:val="1"/>
          <w:wBefore w:w="18" w:type="pct"/>
        </w:trPr>
        <w:tc>
          <w:tcPr>
            <w:tcW w:w="2177" w:type="pct"/>
            <w:gridSpan w:val="2"/>
            <w:tcBorders>
              <w:top w:val="single" w:sz="4" w:space="0" w:color="auto"/>
              <w:left w:val="nil"/>
              <w:bottom w:val="nil"/>
              <w:right w:val="nil"/>
            </w:tcBorders>
          </w:tcPr>
          <w:p w:rsidR="00F2757D" w:rsidRDefault="00F2757D" w:rsidP="00F2757D">
            <w:pPr>
              <w:keepLines/>
              <w:spacing w:after="0" w:line="240" w:lineRule="auto"/>
              <w:jc w:val="both"/>
              <w:rPr>
                <w:rFonts w:cs="Arial"/>
                <w:szCs w:val="24"/>
              </w:rPr>
            </w:pPr>
          </w:p>
        </w:tc>
        <w:tc>
          <w:tcPr>
            <w:tcW w:w="2805" w:type="pct"/>
            <w:gridSpan w:val="2"/>
            <w:tcBorders>
              <w:top w:val="single" w:sz="4" w:space="0" w:color="auto"/>
              <w:left w:val="nil"/>
              <w:bottom w:val="nil"/>
              <w:right w:val="nil"/>
            </w:tcBorders>
          </w:tcPr>
          <w:p w:rsidR="00F2757D" w:rsidRDefault="00F2757D" w:rsidP="00F2757D">
            <w:pPr>
              <w:keepLines/>
              <w:spacing w:after="0" w:line="240" w:lineRule="auto"/>
              <w:rPr>
                <w:rFonts w:cs="Arial"/>
                <w:szCs w:val="24"/>
              </w:rPr>
            </w:pPr>
          </w:p>
        </w:tc>
      </w:tr>
      <w:tr w:rsidR="00696A93" w:rsidRPr="00F86600" w:rsidTr="006B1E88">
        <w:trPr>
          <w:gridAfter w:val="1"/>
          <w:wAfter w:w="10" w:type="pct"/>
        </w:trPr>
        <w:tc>
          <w:tcPr>
            <w:tcW w:w="1196" w:type="pct"/>
            <w:gridSpan w:val="2"/>
            <w:shd w:val="clear" w:color="auto" w:fill="D9D9D9" w:themeFill="background1" w:themeFillShade="D9"/>
          </w:tcPr>
          <w:p w:rsidR="00696A93" w:rsidRPr="006B46AD" w:rsidRDefault="00A81FAA" w:rsidP="002B0E5F">
            <w:pPr>
              <w:pStyle w:val="NoSpacing"/>
              <w:widowControl w:val="0"/>
              <w:rPr>
                <w:rFonts w:cs="Arial"/>
                <w:b/>
                <w:szCs w:val="24"/>
              </w:rPr>
            </w:pPr>
            <w:r>
              <w:rPr>
                <w:rFonts w:cs="Arial"/>
                <w:b/>
                <w:szCs w:val="24"/>
              </w:rPr>
              <w:t>01.16</w:t>
            </w:r>
          </w:p>
        </w:tc>
        <w:tc>
          <w:tcPr>
            <w:tcW w:w="3794" w:type="pct"/>
            <w:gridSpan w:val="2"/>
            <w:shd w:val="clear" w:color="auto" w:fill="D9D9D9" w:themeFill="background1" w:themeFillShade="D9"/>
          </w:tcPr>
          <w:p w:rsidR="00696A93" w:rsidRPr="000D5E12" w:rsidRDefault="009E3BAD" w:rsidP="00F2757D">
            <w:pPr>
              <w:widowControl w:val="0"/>
              <w:rPr>
                <w:rFonts w:cs="Arial"/>
                <w:b/>
                <w:szCs w:val="24"/>
              </w:rPr>
            </w:pPr>
            <w:r>
              <w:rPr>
                <w:rFonts w:cs="Arial"/>
                <w:b/>
                <w:szCs w:val="24"/>
              </w:rPr>
              <w:t>APOLOGIES FOR ABSENCE</w:t>
            </w:r>
          </w:p>
        </w:tc>
      </w:tr>
      <w:tr w:rsidR="0091454B" w:rsidRPr="00F86600" w:rsidTr="00C91D52">
        <w:trPr>
          <w:gridAfter w:val="1"/>
          <w:wAfter w:w="10" w:type="pct"/>
        </w:trPr>
        <w:tc>
          <w:tcPr>
            <w:tcW w:w="4990" w:type="pct"/>
            <w:gridSpan w:val="4"/>
            <w:tcBorders>
              <w:bottom w:val="single" w:sz="4" w:space="0" w:color="000000"/>
            </w:tcBorders>
          </w:tcPr>
          <w:p w:rsidR="0091454B" w:rsidRDefault="00A81FAA" w:rsidP="008B1A02">
            <w:pPr>
              <w:pStyle w:val="NoSpacing"/>
              <w:widowControl w:val="0"/>
              <w:rPr>
                <w:rFonts w:cs="Arial"/>
                <w:szCs w:val="24"/>
              </w:rPr>
            </w:pPr>
            <w:r>
              <w:rPr>
                <w:rFonts w:cs="Arial"/>
                <w:szCs w:val="24"/>
              </w:rPr>
              <w:t xml:space="preserve">Apologies were received from Avril Lawrence. </w:t>
            </w:r>
          </w:p>
          <w:p w:rsidR="00DE1DEE" w:rsidRPr="008C6F72" w:rsidRDefault="00DE1DEE" w:rsidP="008B1A02">
            <w:pPr>
              <w:pStyle w:val="NoSpacing"/>
              <w:widowControl w:val="0"/>
              <w:rPr>
                <w:rFonts w:cs="Arial"/>
                <w:szCs w:val="24"/>
              </w:rPr>
            </w:pPr>
          </w:p>
        </w:tc>
      </w:tr>
      <w:tr w:rsidR="00B44BC1" w:rsidRPr="00F86600" w:rsidTr="006B1E88">
        <w:trPr>
          <w:gridAfter w:val="1"/>
          <w:wAfter w:w="10" w:type="pct"/>
        </w:trPr>
        <w:tc>
          <w:tcPr>
            <w:tcW w:w="1196" w:type="pct"/>
            <w:gridSpan w:val="2"/>
            <w:shd w:val="clear" w:color="auto" w:fill="BFBFBF" w:themeFill="background1" w:themeFillShade="BF"/>
          </w:tcPr>
          <w:p w:rsidR="00B44BC1" w:rsidRPr="00B52D7B" w:rsidRDefault="00A81FAA" w:rsidP="00A81FAA">
            <w:pPr>
              <w:pStyle w:val="NoSpacing"/>
              <w:keepLines/>
              <w:rPr>
                <w:rFonts w:cs="Arial"/>
                <w:b/>
                <w:sz w:val="32"/>
                <w:szCs w:val="32"/>
              </w:rPr>
            </w:pPr>
            <w:r>
              <w:rPr>
                <w:rFonts w:cs="Arial"/>
                <w:b/>
                <w:szCs w:val="32"/>
              </w:rPr>
              <w:t>02.16</w:t>
            </w:r>
          </w:p>
        </w:tc>
        <w:tc>
          <w:tcPr>
            <w:tcW w:w="3794" w:type="pct"/>
            <w:gridSpan w:val="2"/>
            <w:shd w:val="clear" w:color="auto" w:fill="BFBFBF" w:themeFill="background1" w:themeFillShade="BF"/>
          </w:tcPr>
          <w:p w:rsidR="00B44BC1" w:rsidRPr="00B44BC1" w:rsidRDefault="005D31A0" w:rsidP="008A7521">
            <w:pPr>
              <w:keepLines/>
              <w:rPr>
                <w:rFonts w:cs="Arial"/>
                <w:b/>
                <w:szCs w:val="24"/>
              </w:rPr>
            </w:pPr>
            <w:r>
              <w:rPr>
                <w:rFonts w:cs="Arial"/>
                <w:b/>
                <w:szCs w:val="24"/>
              </w:rPr>
              <w:t>DECLARATIONS OF INTEREST</w:t>
            </w:r>
          </w:p>
        </w:tc>
      </w:tr>
      <w:tr w:rsidR="0091454B" w:rsidRPr="00F86600" w:rsidTr="00C91D52">
        <w:trPr>
          <w:gridAfter w:val="1"/>
          <w:wAfter w:w="10" w:type="pct"/>
        </w:trPr>
        <w:tc>
          <w:tcPr>
            <w:tcW w:w="4990" w:type="pct"/>
            <w:gridSpan w:val="4"/>
            <w:tcBorders>
              <w:bottom w:val="single" w:sz="4" w:space="0" w:color="000000"/>
            </w:tcBorders>
          </w:tcPr>
          <w:p w:rsidR="0091454B" w:rsidRPr="0098582B" w:rsidRDefault="008B1A02" w:rsidP="00D81264">
            <w:pPr>
              <w:keepLines/>
              <w:jc w:val="both"/>
              <w:rPr>
                <w:rFonts w:cs="Arial"/>
                <w:szCs w:val="24"/>
              </w:rPr>
            </w:pPr>
            <w:r>
              <w:rPr>
                <w:rFonts w:cs="Arial"/>
                <w:szCs w:val="24"/>
              </w:rPr>
              <w:t>There were no declarations of interest</w:t>
            </w:r>
            <w:r w:rsidR="00A20062">
              <w:rPr>
                <w:rFonts w:cs="Arial"/>
                <w:szCs w:val="24"/>
              </w:rPr>
              <w:t>.</w:t>
            </w:r>
          </w:p>
        </w:tc>
      </w:tr>
      <w:tr w:rsidR="0091454B" w:rsidRPr="00F86600" w:rsidTr="006B1E88">
        <w:trPr>
          <w:gridAfter w:val="1"/>
          <w:wAfter w:w="10" w:type="pct"/>
        </w:trPr>
        <w:tc>
          <w:tcPr>
            <w:tcW w:w="1196" w:type="pct"/>
            <w:gridSpan w:val="2"/>
            <w:shd w:val="clear" w:color="auto" w:fill="BFBFBF" w:themeFill="background1" w:themeFillShade="BF"/>
          </w:tcPr>
          <w:p w:rsidR="0091454B" w:rsidRDefault="00A81FAA" w:rsidP="00A81FAA">
            <w:pPr>
              <w:pStyle w:val="NoSpacing"/>
              <w:keepLines/>
              <w:jc w:val="both"/>
              <w:rPr>
                <w:rFonts w:cs="Arial"/>
                <w:b/>
                <w:szCs w:val="24"/>
              </w:rPr>
            </w:pPr>
            <w:r>
              <w:rPr>
                <w:rFonts w:cs="Arial"/>
                <w:b/>
                <w:szCs w:val="24"/>
              </w:rPr>
              <w:t>03.16</w:t>
            </w:r>
          </w:p>
        </w:tc>
        <w:tc>
          <w:tcPr>
            <w:tcW w:w="3794" w:type="pct"/>
            <w:gridSpan w:val="2"/>
            <w:shd w:val="clear" w:color="auto" w:fill="BFBFBF" w:themeFill="background1" w:themeFillShade="BF"/>
          </w:tcPr>
          <w:p w:rsidR="0091454B" w:rsidRPr="0091454B" w:rsidRDefault="0091454B" w:rsidP="002A10E8">
            <w:pPr>
              <w:keepLines/>
              <w:jc w:val="both"/>
              <w:rPr>
                <w:rFonts w:cs="Arial"/>
                <w:b/>
                <w:bCs/>
                <w:szCs w:val="24"/>
              </w:rPr>
            </w:pPr>
            <w:r w:rsidRPr="0091454B">
              <w:rPr>
                <w:rFonts w:cs="Arial"/>
                <w:b/>
                <w:bCs/>
                <w:szCs w:val="24"/>
              </w:rPr>
              <w:t>MINUTES</w:t>
            </w:r>
          </w:p>
        </w:tc>
      </w:tr>
      <w:tr w:rsidR="0091454B" w:rsidRPr="00F86600" w:rsidTr="00C91D52">
        <w:trPr>
          <w:gridAfter w:val="1"/>
          <w:wAfter w:w="10" w:type="pct"/>
        </w:trPr>
        <w:tc>
          <w:tcPr>
            <w:tcW w:w="4990" w:type="pct"/>
            <w:gridSpan w:val="4"/>
            <w:tcBorders>
              <w:bottom w:val="single" w:sz="4" w:space="0" w:color="000000"/>
            </w:tcBorders>
          </w:tcPr>
          <w:p w:rsidR="0091454B" w:rsidRDefault="00A34E94" w:rsidP="00A81FAA">
            <w:pPr>
              <w:keepLines/>
              <w:jc w:val="both"/>
              <w:rPr>
                <w:rFonts w:cs="Arial"/>
                <w:szCs w:val="24"/>
              </w:rPr>
            </w:pPr>
            <w:r>
              <w:rPr>
                <w:rFonts w:cs="Arial"/>
                <w:szCs w:val="24"/>
              </w:rPr>
              <w:t>The m</w:t>
            </w:r>
            <w:r w:rsidR="00A11F40">
              <w:rPr>
                <w:rFonts w:cs="Arial"/>
                <w:szCs w:val="24"/>
              </w:rPr>
              <w:t xml:space="preserve">inutes of the meeting held on </w:t>
            </w:r>
            <w:r w:rsidR="00A81FAA">
              <w:rPr>
                <w:rFonts w:cs="Arial"/>
                <w:szCs w:val="24"/>
              </w:rPr>
              <w:t>25 May</w:t>
            </w:r>
            <w:r w:rsidR="00A11F40">
              <w:rPr>
                <w:rFonts w:cs="Arial"/>
                <w:szCs w:val="24"/>
              </w:rPr>
              <w:t xml:space="preserve"> 2016</w:t>
            </w:r>
            <w:r>
              <w:rPr>
                <w:rFonts w:cs="Arial"/>
                <w:szCs w:val="24"/>
              </w:rPr>
              <w:t xml:space="preserve"> were approved as a correct record. </w:t>
            </w:r>
          </w:p>
        </w:tc>
      </w:tr>
      <w:tr w:rsidR="0091454B" w:rsidRPr="00F86600" w:rsidTr="006B1E88">
        <w:trPr>
          <w:gridAfter w:val="1"/>
          <w:wAfter w:w="10" w:type="pct"/>
        </w:trPr>
        <w:tc>
          <w:tcPr>
            <w:tcW w:w="1196" w:type="pct"/>
            <w:gridSpan w:val="2"/>
            <w:shd w:val="clear" w:color="auto" w:fill="BFBFBF" w:themeFill="background1" w:themeFillShade="BF"/>
          </w:tcPr>
          <w:p w:rsidR="0091454B" w:rsidRDefault="00A81FAA" w:rsidP="002A10E8">
            <w:pPr>
              <w:pStyle w:val="NoSpacing"/>
              <w:keepLines/>
              <w:jc w:val="both"/>
              <w:rPr>
                <w:rFonts w:cs="Arial"/>
                <w:b/>
                <w:szCs w:val="24"/>
              </w:rPr>
            </w:pPr>
            <w:r>
              <w:rPr>
                <w:rFonts w:cs="Arial"/>
                <w:b/>
                <w:szCs w:val="24"/>
              </w:rPr>
              <w:t>04.16</w:t>
            </w:r>
          </w:p>
        </w:tc>
        <w:tc>
          <w:tcPr>
            <w:tcW w:w="3794" w:type="pct"/>
            <w:gridSpan w:val="2"/>
            <w:shd w:val="clear" w:color="auto" w:fill="BFBFBF" w:themeFill="background1" w:themeFillShade="BF"/>
          </w:tcPr>
          <w:p w:rsidR="0091454B" w:rsidRPr="00287328" w:rsidRDefault="00287328" w:rsidP="002A10E8">
            <w:pPr>
              <w:keepLines/>
              <w:jc w:val="both"/>
              <w:rPr>
                <w:rFonts w:cs="Arial"/>
                <w:b/>
                <w:bCs/>
                <w:szCs w:val="24"/>
              </w:rPr>
            </w:pPr>
            <w:r w:rsidRPr="00287328">
              <w:rPr>
                <w:rFonts w:cs="Arial"/>
                <w:b/>
                <w:bCs/>
                <w:szCs w:val="24"/>
              </w:rPr>
              <w:t>MATTERS ARISING</w:t>
            </w:r>
          </w:p>
        </w:tc>
      </w:tr>
      <w:tr w:rsidR="00287328" w:rsidRPr="00F86600" w:rsidTr="00C91D52">
        <w:trPr>
          <w:gridAfter w:val="1"/>
          <w:wAfter w:w="10" w:type="pct"/>
        </w:trPr>
        <w:tc>
          <w:tcPr>
            <w:tcW w:w="4990" w:type="pct"/>
            <w:gridSpan w:val="4"/>
            <w:tcBorders>
              <w:bottom w:val="single" w:sz="4" w:space="0" w:color="000000"/>
            </w:tcBorders>
          </w:tcPr>
          <w:p w:rsidR="00E32823" w:rsidRDefault="00C336EC" w:rsidP="00A11F40">
            <w:pPr>
              <w:keepLines/>
              <w:jc w:val="both"/>
              <w:rPr>
                <w:rFonts w:cs="Arial"/>
                <w:szCs w:val="24"/>
              </w:rPr>
            </w:pPr>
            <w:r>
              <w:rPr>
                <w:rFonts w:cs="Arial"/>
                <w:szCs w:val="24"/>
              </w:rPr>
              <w:t>The meeting received</w:t>
            </w:r>
            <w:r w:rsidR="00D47CC5">
              <w:rPr>
                <w:rFonts w:cs="Arial"/>
                <w:szCs w:val="24"/>
              </w:rPr>
              <w:t xml:space="preserve"> and noted </w:t>
            </w:r>
            <w:r>
              <w:rPr>
                <w:rFonts w:cs="Arial"/>
                <w:szCs w:val="24"/>
              </w:rPr>
              <w:t xml:space="preserve">a paper </w:t>
            </w:r>
            <w:r w:rsidR="008C61E1">
              <w:rPr>
                <w:rFonts w:cs="Arial"/>
                <w:szCs w:val="24"/>
              </w:rPr>
              <w:t>(</w:t>
            </w:r>
            <w:r w:rsidR="00963E9B" w:rsidRPr="00373651">
              <w:rPr>
                <w:rFonts w:cs="Arial"/>
                <w:szCs w:val="24"/>
              </w:rPr>
              <w:t>Appendix B)</w:t>
            </w:r>
            <w:r w:rsidR="00963E9B">
              <w:rPr>
                <w:rFonts w:cs="Arial"/>
                <w:szCs w:val="24"/>
              </w:rPr>
              <w:t xml:space="preserve"> </w:t>
            </w:r>
            <w:r>
              <w:rPr>
                <w:rFonts w:cs="Arial"/>
                <w:szCs w:val="24"/>
              </w:rPr>
              <w:t>th</w:t>
            </w:r>
            <w:r w:rsidR="00595A5C">
              <w:rPr>
                <w:rFonts w:cs="Arial"/>
                <w:szCs w:val="24"/>
              </w:rPr>
              <w:t>at provided an up</w:t>
            </w:r>
            <w:r w:rsidR="008C61E1">
              <w:rPr>
                <w:rFonts w:cs="Arial"/>
                <w:szCs w:val="24"/>
              </w:rPr>
              <w:t>date about the status of action</w:t>
            </w:r>
            <w:r w:rsidR="00595A5C">
              <w:rPr>
                <w:rFonts w:cs="Arial"/>
                <w:szCs w:val="24"/>
              </w:rPr>
              <w:t xml:space="preserve"> items</w:t>
            </w:r>
            <w:r w:rsidR="008C61E1">
              <w:rPr>
                <w:rFonts w:cs="Arial"/>
                <w:szCs w:val="24"/>
              </w:rPr>
              <w:t xml:space="preserve"> referred </w:t>
            </w:r>
            <w:r w:rsidR="00A11F40">
              <w:rPr>
                <w:rFonts w:cs="Arial"/>
                <w:szCs w:val="24"/>
              </w:rPr>
              <w:t>from previous meetings.</w:t>
            </w:r>
            <w:r w:rsidR="00C65F1D">
              <w:rPr>
                <w:rFonts w:cs="Arial"/>
                <w:szCs w:val="24"/>
              </w:rPr>
              <w:t xml:space="preserve"> It was noted </w:t>
            </w:r>
            <w:r w:rsidR="00EB7A2E">
              <w:rPr>
                <w:rFonts w:cs="Arial"/>
                <w:szCs w:val="24"/>
              </w:rPr>
              <w:br/>
            </w:r>
            <w:r w:rsidR="00C65F1D">
              <w:rPr>
                <w:rFonts w:cs="Arial"/>
                <w:szCs w:val="24"/>
              </w:rPr>
              <w:t>that:</w:t>
            </w:r>
            <w:r w:rsidR="00EB7A2E">
              <w:rPr>
                <w:rFonts w:cs="Arial"/>
                <w:szCs w:val="24"/>
              </w:rPr>
              <w:t xml:space="preserve"> -</w:t>
            </w:r>
          </w:p>
          <w:p w:rsidR="00C65F1D" w:rsidRDefault="00C65F1D" w:rsidP="00C65F1D">
            <w:pPr>
              <w:pStyle w:val="ListParagraph"/>
              <w:keepLines/>
              <w:numPr>
                <w:ilvl w:val="0"/>
                <w:numId w:val="20"/>
              </w:numPr>
              <w:jc w:val="both"/>
              <w:rPr>
                <w:rFonts w:cs="Arial"/>
                <w:szCs w:val="24"/>
              </w:rPr>
            </w:pPr>
            <w:r>
              <w:rPr>
                <w:rFonts w:cs="Arial"/>
                <w:szCs w:val="24"/>
              </w:rPr>
              <w:t>The ABR report for Surrey had yet to be published;</w:t>
            </w:r>
          </w:p>
          <w:p w:rsidR="00C65F1D" w:rsidRDefault="00EB7A2E" w:rsidP="00C65F1D">
            <w:pPr>
              <w:pStyle w:val="ListParagraph"/>
              <w:keepLines/>
              <w:numPr>
                <w:ilvl w:val="0"/>
                <w:numId w:val="20"/>
              </w:numPr>
              <w:jc w:val="both"/>
              <w:rPr>
                <w:rFonts w:cs="Arial"/>
                <w:szCs w:val="24"/>
              </w:rPr>
            </w:pPr>
            <w:r>
              <w:rPr>
                <w:rFonts w:cs="Arial"/>
                <w:szCs w:val="24"/>
              </w:rPr>
              <w:t>16-18</w:t>
            </w:r>
            <w:r w:rsidR="00C65F1D">
              <w:rPr>
                <w:rFonts w:cs="Arial"/>
                <w:szCs w:val="24"/>
              </w:rPr>
              <w:t xml:space="preserve"> </w:t>
            </w:r>
            <w:r>
              <w:rPr>
                <w:rFonts w:cs="Arial"/>
                <w:szCs w:val="24"/>
              </w:rPr>
              <w:t>student e</w:t>
            </w:r>
            <w:r w:rsidR="00C65F1D">
              <w:rPr>
                <w:rFonts w:cs="Arial"/>
                <w:szCs w:val="24"/>
              </w:rPr>
              <w:t xml:space="preserve">nrolments at the census date was 1670, against a funding target of 1653. This was a pleasing outcome although below the internal target. January enrolments could increase the </w:t>
            </w:r>
            <w:r w:rsidR="00022971">
              <w:rPr>
                <w:rFonts w:cs="Arial"/>
                <w:szCs w:val="24"/>
              </w:rPr>
              <w:t xml:space="preserve">final count. </w:t>
            </w:r>
          </w:p>
          <w:p w:rsidR="00C65F1D" w:rsidRDefault="00C65F1D" w:rsidP="00C65F1D">
            <w:pPr>
              <w:pStyle w:val="ListParagraph"/>
              <w:keepLines/>
              <w:numPr>
                <w:ilvl w:val="0"/>
                <w:numId w:val="20"/>
              </w:numPr>
              <w:jc w:val="both"/>
              <w:rPr>
                <w:rFonts w:cs="Arial"/>
                <w:szCs w:val="24"/>
              </w:rPr>
            </w:pPr>
            <w:r>
              <w:rPr>
                <w:rFonts w:cs="Arial"/>
                <w:szCs w:val="24"/>
              </w:rPr>
              <w:lastRenderedPageBreak/>
              <w:t>Again this year there had been a high level of early withdrawals/no shows. Feedback from follow-up calls made to students who had indicated that they were going to enrol but who didn’t was that schools were putting a lot of effort into retaining students into their 6</w:t>
            </w:r>
            <w:r w:rsidRPr="00C65F1D">
              <w:rPr>
                <w:rFonts w:cs="Arial"/>
                <w:szCs w:val="24"/>
                <w:vertAlign w:val="superscript"/>
              </w:rPr>
              <w:t>th</w:t>
            </w:r>
            <w:r>
              <w:rPr>
                <w:rFonts w:cs="Arial"/>
                <w:szCs w:val="24"/>
              </w:rPr>
              <w:t xml:space="preserve"> forms. </w:t>
            </w:r>
          </w:p>
          <w:p w:rsidR="00022971" w:rsidRDefault="00022971" w:rsidP="00C65F1D">
            <w:pPr>
              <w:pStyle w:val="ListParagraph"/>
              <w:keepLines/>
              <w:numPr>
                <w:ilvl w:val="0"/>
                <w:numId w:val="20"/>
              </w:numPr>
              <w:jc w:val="both"/>
              <w:rPr>
                <w:rFonts w:cs="Arial"/>
                <w:szCs w:val="24"/>
              </w:rPr>
            </w:pPr>
            <w:r>
              <w:rPr>
                <w:rFonts w:cs="Arial"/>
                <w:szCs w:val="24"/>
              </w:rPr>
              <w:t>Consideration was being given to putting back the date of enrolment</w:t>
            </w:r>
            <w:r w:rsidR="00EB7A2E">
              <w:rPr>
                <w:rFonts w:cs="Arial"/>
                <w:szCs w:val="24"/>
              </w:rPr>
              <w:t xml:space="preserve"> in the summer</w:t>
            </w:r>
            <w:r>
              <w:rPr>
                <w:rFonts w:cs="Arial"/>
                <w:szCs w:val="24"/>
              </w:rPr>
              <w:t xml:space="preserve">. NESCOT enrolled about a week before other colleges and schools and there was a view that students enrolled with NESCOT and then subsequently returned to school. </w:t>
            </w:r>
          </w:p>
          <w:p w:rsidR="00C65F1D" w:rsidRDefault="00C65F1D" w:rsidP="00C65F1D">
            <w:pPr>
              <w:pStyle w:val="ListParagraph"/>
              <w:keepLines/>
              <w:numPr>
                <w:ilvl w:val="0"/>
                <w:numId w:val="20"/>
              </w:numPr>
              <w:jc w:val="both"/>
              <w:rPr>
                <w:rFonts w:cs="Arial"/>
                <w:szCs w:val="24"/>
              </w:rPr>
            </w:pPr>
            <w:r>
              <w:rPr>
                <w:rFonts w:cs="Arial"/>
                <w:szCs w:val="24"/>
              </w:rPr>
              <w:t xml:space="preserve">A report on early drop-out and no shows would be brought to the next meeting </w:t>
            </w:r>
            <w:r w:rsidRPr="00C65F1D">
              <w:rPr>
                <w:rFonts w:cs="Arial"/>
                <w:b/>
                <w:szCs w:val="24"/>
              </w:rPr>
              <w:t>(ACTION: DS)</w:t>
            </w:r>
            <w:r w:rsidR="00022971">
              <w:rPr>
                <w:rFonts w:cs="Arial"/>
                <w:szCs w:val="24"/>
              </w:rPr>
              <w:t>.</w:t>
            </w:r>
          </w:p>
          <w:p w:rsidR="00022971" w:rsidRPr="00022971" w:rsidRDefault="00022971" w:rsidP="00C65F1D">
            <w:pPr>
              <w:pStyle w:val="ListParagraph"/>
              <w:keepLines/>
              <w:numPr>
                <w:ilvl w:val="0"/>
                <w:numId w:val="20"/>
              </w:numPr>
              <w:jc w:val="both"/>
              <w:rPr>
                <w:rFonts w:cs="Arial"/>
                <w:szCs w:val="24"/>
              </w:rPr>
            </w:pPr>
            <w:r>
              <w:rPr>
                <w:rFonts w:cs="Arial"/>
                <w:szCs w:val="24"/>
              </w:rPr>
              <w:t>It was suggested that students could be asked to assist during enrolment and on Open Days to talk about their expe</w:t>
            </w:r>
            <w:r w:rsidR="00EB7A2E">
              <w:rPr>
                <w:rFonts w:cs="Arial"/>
                <w:szCs w:val="24"/>
              </w:rPr>
              <w:t xml:space="preserve">rience of studying at NESCOT </w:t>
            </w:r>
            <w:r>
              <w:rPr>
                <w:rFonts w:cs="Arial"/>
                <w:szCs w:val="24"/>
              </w:rPr>
              <w:t xml:space="preserve">with potential students and parents etc. </w:t>
            </w:r>
            <w:r w:rsidRPr="00022971">
              <w:rPr>
                <w:rFonts w:cs="Arial"/>
                <w:b/>
                <w:szCs w:val="24"/>
              </w:rPr>
              <w:t>(ACTION: CH).</w:t>
            </w:r>
          </w:p>
          <w:p w:rsidR="007743D9" w:rsidRPr="00E32823" w:rsidRDefault="00022971" w:rsidP="00022971">
            <w:pPr>
              <w:pStyle w:val="ListParagraph"/>
              <w:keepLines/>
              <w:numPr>
                <w:ilvl w:val="0"/>
                <w:numId w:val="20"/>
              </w:numPr>
              <w:jc w:val="both"/>
              <w:rPr>
                <w:rFonts w:cs="Arial"/>
                <w:szCs w:val="24"/>
              </w:rPr>
            </w:pPr>
            <w:r w:rsidRPr="00022971">
              <w:rPr>
                <w:rFonts w:cs="Arial"/>
                <w:szCs w:val="24"/>
              </w:rPr>
              <w:t xml:space="preserve">There had been a general switch away from L1/L2 courses towards apprenticeships. </w:t>
            </w:r>
          </w:p>
        </w:tc>
      </w:tr>
      <w:tr w:rsidR="0091454B" w:rsidRPr="00F86600" w:rsidTr="006B1E88">
        <w:trPr>
          <w:gridAfter w:val="1"/>
          <w:wAfter w:w="10" w:type="pct"/>
        </w:trPr>
        <w:tc>
          <w:tcPr>
            <w:tcW w:w="1196" w:type="pct"/>
            <w:gridSpan w:val="2"/>
            <w:shd w:val="clear" w:color="auto" w:fill="D9D9D9" w:themeFill="background1" w:themeFillShade="D9"/>
          </w:tcPr>
          <w:p w:rsidR="0091454B" w:rsidRDefault="00EB1A91" w:rsidP="00EB1A91">
            <w:pPr>
              <w:pStyle w:val="NoSpacing"/>
              <w:keepLines/>
              <w:jc w:val="both"/>
              <w:rPr>
                <w:rFonts w:cs="Arial"/>
                <w:b/>
                <w:szCs w:val="24"/>
              </w:rPr>
            </w:pPr>
            <w:r>
              <w:rPr>
                <w:rFonts w:cs="Arial"/>
                <w:b/>
                <w:szCs w:val="24"/>
              </w:rPr>
              <w:lastRenderedPageBreak/>
              <w:t>05.16</w:t>
            </w:r>
          </w:p>
        </w:tc>
        <w:tc>
          <w:tcPr>
            <w:tcW w:w="3794" w:type="pct"/>
            <w:gridSpan w:val="2"/>
            <w:shd w:val="clear" w:color="auto" w:fill="D9D9D9" w:themeFill="background1" w:themeFillShade="D9"/>
          </w:tcPr>
          <w:p w:rsidR="0091454B" w:rsidRPr="000536F4" w:rsidRDefault="00EB1A91" w:rsidP="00EB1A91">
            <w:pPr>
              <w:keepLines/>
              <w:jc w:val="both"/>
              <w:rPr>
                <w:rFonts w:cs="Arial"/>
                <w:b/>
                <w:bCs/>
                <w:szCs w:val="24"/>
              </w:rPr>
            </w:pPr>
            <w:r>
              <w:rPr>
                <w:rFonts w:cs="Arial"/>
                <w:b/>
                <w:bCs/>
                <w:szCs w:val="24"/>
              </w:rPr>
              <w:t>NEW KPIs</w:t>
            </w:r>
          </w:p>
        </w:tc>
      </w:tr>
      <w:tr w:rsidR="00E32823" w:rsidRPr="00F86600" w:rsidTr="00C91D52">
        <w:trPr>
          <w:gridAfter w:val="1"/>
          <w:wAfter w:w="10" w:type="pct"/>
        </w:trPr>
        <w:tc>
          <w:tcPr>
            <w:tcW w:w="4990" w:type="pct"/>
            <w:gridSpan w:val="4"/>
            <w:tcBorders>
              <w:bottom w:val="single" w:sz="4" w:space="0" w:color="000000"/>
            </w:tcBorders>
          </w:tcPr>
          <w:p w:rsidR="00E32823" w:rsidRDefault="006B0C5D" w:rsidP="006B0C5D">
            <w:pPr>
              <w:pStyle w:val="NoSpacing"/>
              <w:keepLines/>
              <w:spacing w:line="276" w:lineRule="auto"/>
              <w:rPr>
                <w:rFonts w:cs="Arial"/>
                <w:szCs w:val="24"/>
              </w:rPr>
            </w:pPr>
            <w:r>
              <w:rPr>
                <w:rFonts w:cs="Arial"/>
                <w:szCs w:val="24"/>
              </w:rPr>
              <w:t xml:space="preserve">The outturn curriculum KPIs for 2015/16 were noted. The red-flagged apprenticeship success rates for 16-18 students were expected to rise as achievement data was still being processed. </w:t>
            </w:r>
          </w:p>
          <w:p w:rsidR="006B0C5D" w:rsidRDefault="006B0C5D" w:rsidP="006B0C5D">
            <w:pPr>
              <w:pStyle w:val="NoSpacing"/>
              <w:keepLines/>
              <w:spacing w:line="276" w:lineRule="auto"/>
              <w:rPr>
                <w:rFonts w:cs="Arial"/>
                <w:szCs w:val="24"/>
              </w:rPr>
            </w:pPr>
          </w:p>
          <w:p w:rsidR="006B0C5D" w:rsidRPr="00070292" w:rsidRDefault="006B0C5D" w:rsidP="006B0C5D">
            <w:pPr>
              <w:pStyle w:val="NoSpacing"/>
              <w:keepLines/>
              <w:spacing w:line="276" w:lineRule="auto"/>
              <w:rPr>
                <w:rFonts w:cs="Arial"/>
                <w:szCs w:val="24"/>
              </w:rPr>
            </w:pPr>
            <w:r>
              <w:rPr>
                <w:rFonts w:cs="Arial"/>
                <w:szCs w:val="24"/>
              </w:rPr>
              <w:t xml:space="preserve">The new CQC targets for the 2016/17 academic year were </w:t>
            </w:r>
            <w:r w:rsidRPr="006B0C5D">
              <w:rPr>
                <w:rFonts w:cs="Arial"/>
                <w:b/>
                <w:szCs w:val="24"/>
              </w:rPr>
              <w:t>APPROVED</w:t>
            </w:r>
            <w:r>
              <w:rPr>
                <w:rFonts w:cs="Arial"/>
                <w:szCs w:val="24"/>
              </w:rPr>
              <w:t xml:space="preserve">. All targets were above the national benchmarks. </w:t>
            </w:r>
          </w:p>
        </w:tc>
      </w:tr>
      <w:tr w:rsidR="00C5102A" w:rsidRPr="00F86600" w:rsidTr="006B1E88">
        <w:trPr>
          <w:gridAfter w:val="1"/>
          <w:wAfter w:w="10" w:type="pct"/>
        </w:trPr>
        <w:tc>
          <w:tcPr>
            <w:tcW w:w="1196" w:type="pct"/>
            <w:gridSpan w:val="2"/>
            <w:shd w:val="clear" w:color="auto" w:fill="BFBFBF" w:themeFill="background1" w:themeFillShade="BF"/>
          </w:tcPr>
          <w:p w:rsidR="00C5102A" w:rsidRPr="00F723C1" w:rsidRDefault="00EB1A91" w:rsidP="009E4B49">
            <w:pPr>
              <w:pStyle w:val="NoSpacing"/>
              <w:keepLines/>
              <w:jc w:val="both"/>
              <w:rPr>
                <w:rFonts w:cs="Arial"/>
                <w:b/>
                <w:szCs w:val="24"/>
              </w:rPr>
            </w:pPr>
            <w:r>
              <w:rPr>
                <w:rFonts w:cs="Arial"/>
                <w:b/>
                <w:szCs w:val="24"/>
              </w:rPr>
              <w:t>06.16</w:t>
            </w:r>
          </w:p>
        </w:tc>
        <w:tc>
          <w:tcPr>
            <w:tcW w:w="3794" w:type="pct"/>
            <w:gridSpan w:val="2"/>
            <w:shd w:val="clear" w:color="auto" w:fill="BFBFBF" w:themeFill="background1" w:themeFillShade="BF"/>
          </w:tcPr>
          <w:p w:rsidR="00C5102A" w:rsidRPr="00145C90" w:rsidRDefault="006B1E88" w:rsidP="002A10E8">
            <w:pPr>
              <w:keepLines/>
              <w:jc w:val="both"/>
              <w:rPr>
                <w:rFonts w:cs="Arial"/>
                <w:b/>
                <w:bCs/>
                <w:szCs w:val="24"/>
              </w:rPr>
            </w:pPr>
            <w:r>
              <w:rPr>
                <w:rFonts w:cs="Arial"/>
                <w:b/>
                <w:bCs/>
                <w:szCs w:val="24"/>
              </w:rPr>
              <w:t>STUDENT PERFORMANCE</w:t>
            </w:r>
          </w:p>
        </w:tc>
      </w:tr>
      <w:tr w:rsidR="006B1E88" w:rsidRPr="00F86600" w:rsidTr="006B1E88">
        <w:trPr>
          <w:gridAfter w:val="1"/>
          <w:wAfter w:w="10" w:type="pct"/>
        </w:trPr>
        <w:tc>
          <w:tcPr>
            <w:tcW w:w="1196" w:type="pct"/>
            <w:gridSpan w:val="2"/>
            <w:tcBorders>
              <w:bottom w:val="single" w:sz="4" w:space="0" w:color="000000"/>
            </w:tcBorders>
          </w:tcPr>
          <w:p w:rsidR="006B1E88" w:rsidRPr="006B1E88" w:rsidRDefault="006B1E88" w:rsidP="006B1E88">
            <w:pPr>
              <w:keepLines/>
              <w:rPr>
                <w:rFonts w:cs="Arial"/>
                <w:b/>
                <w:szCs w:val="24"/>
              </w:rPr>
            </w:pPr>
            <w:r w:rsidRPr="006B1E88">
              <w:rPr>
                <w:rFonts w:cs="Arial"/>
                <w:b/>
                <w:szCs w:val="24"/>
              </w:rPr>
              <w:t>06.01 English and Maths Report &amp; Action Plan</w:t>
            </w:r>
          </w:p>
          <w:p w:rsidR="006B1E88" w:rsidRDefault="006B1E88"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456BD3" w:rsidRDefault="00456BD3"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456BD3" w:rsidRDefault="00456BD3"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38302B" w:rsidRDefault="0038302B" w:rsidP="006B1E88">
            <w:pPr>
              <w:keepLines/>
              <w:jc w:val="both"/>
              <w:rPr>
                <w:rFonts w:cs="Arial"/>
                <w:szCs w:val="24"/>
              </w:rPr>
            </w:pPr>
          </w:p>
          <w:p w:rsidR="00EB7A2E" w:rsidRDefault="00EB7A2E" w:rsidP="00456BD3">
            <w:pPr>
              <w:keepLines/>
              <w:rPr>
                <w:rFonts w:cs="Arial"/>
                <w:b/>
                <w:szCs w:val="24"/>
              </w:rPr>
            </w:pPr>
          </w:p>
          <w:p w:rsidR="00EB7A2E" w:rsidRDefault="00EB7A2E" w:rsidP="00456BD3">
            <w:pPr>
              <w:keepLines/>
              <w:rPr>
                <w:rFonts w:cs="Arial"/>
                <w:b/>
                <w:szCs w:val="24"/>
              </w:rPr>
            </w:pPr>
          </w:p>
          <w:p w:rsidR="00EB7A2E" w:rsidRDefault="00EB7A2E" w:rsidP="00456BD3">
            <w:pPr>
              <w:keepLines/>
              <w:rPr>
                <w:rFonts w:cs="Arial"/>
                <w:b/>
                <w:szCs w:val="24"/>
              </w:rPr>
            </w:pPr>
          </w:p>
          <w:p w:rsidR="00456BD3" w:rsidRPr="006B1E88" w:rsidRDefault="00EB7A2E" w:rsidP="00456BD3">
            <w:pPr>
              <w:keepLines/>
              <w:rPr>
                <w:rFonts w:cs="Arial"/>
                <w:b/>
                <w:szCs w:val="24"/>
              </w:rPr>
            </w:pPr>
            <w:r>
              <w:rPr>
                <w:rFonts w:cs="Arial"/>
                <w:b/>
                <w:szCs w:val="24"/>
              </w:rPr>
              <w:br/>
            </w:r>
            <w:r w:rsidR="0038302B">
              <w:rPr>
                <w:rFonts w:cs="Arial"/>
                <w:b/>
                <w:szCs w:val="24"/>
              </w:rPr>
              <w:t>06.02 Student Outcomes 2015/16</w:t>
            </w: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8857EA" w:rsidRDefault="008857EA"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FC5BB8" w:rsidP="008857EA">
            <w:pPr>
              <w:keepLines/>
              <w:rPr>
                <w:rFonts w:cs="Arial"/>
                <w:b/>
                <w:szCs w:val="24"/>
              </w:rPr>
            </w:pPr>
          </w:p>
          <w:p w:rsidR="00FC5BB8" w:rsidRDefault="00C23978" w:rsidP="008857EA">
            <w:pPr>
              <w:keepLines/>
              <w:rPr>
                <w:rFonts w:cs="Arial"/>
                <w:b/>
                <w:szCs w:val="24"/>
              </w:rPr>
            </w:pPr>
            <w:r>
              <w:rPr>
                <w:rFonts w:cs="Arial"/>
                <w:b/>
                <w:szCs w:val="24"/>
              </w:rPr>
              <w:br/>
            </w:r>
          </w:p>
          <w:p w:rsidR="006B1E88" w:rsidRPr="006B1E88" w:rsidRDefault="008857EA" w:rsidP="008857EA">
            <w:pPr>
              <w:keepLines/>
              <w:rPr>
                <w:rFonts w:cs="Arial"/>
                <w:szCs w:val="24"/>
              </w:rPr>
            </w:pPr>
            <w:r>
              <w:rPr>
                <w:rFonts w:cs="Arial"/>
                <w:b/>
                <w:szCs w:val="24"/>
              </w:rPr>
              <w:t>06.03 Value</w:t>
            </w:r>
            <w:r w:rsidR="00A600E3">
              <w:rPr>
                <w:rFonts w:cs="Arial"/>
                <w:b/>
                <w:szCs w:val="24"/>
              </w:rPr>
              <w:t>-</w:t>
            </w:r>
            <w:r>
              <w:rPr>
                <w:rFonts w:cs="Arial"/>
                <w:b/>
                <w:szCs w:val="24"/>
              </w:rPr>
              <w:t xml:space="preserve"> Added Scores 2015/16</w:t>
            </w:r>
          </w:p>
        </w:tc>
        <w:tc>
          <w:tcPr>
            <w:tcW w:w="3794" w:type="pct"/>
            <w:gridSpan w:val="2"/>
            <w:tcBorders>
              <w:bottom w:val="single" w:sz="4" w:space="0" w:color="000000"/>
            </w:tcBorders>
          </w:tcPr>
          <w:p w:rsidR="006B1E88" w:rsidRDefault="006B1E88" w:rsidP="00617869">
            <w:pPr>
              <w:keepLines/>
              <w:rPr>
                <w:rFonts w:cs="Arial"/>
                <w:szCs w:val="24"/>
              </w:rPr>
            </w:pPr>
            <w:r>
              <w:rPr>
                <w:rFonts w:cs="Arial"/>
                <w:szCs w:val="24"/>
              </w:rPr>
              <w:lastRenderedPageBreak/>
              <w:t>The Chair reminded Governors that the Chair of the Corporation had said that improving English and Maths GCSE results was the number one priority</w:t>
            </w:r>
            <w:r w:rsidR="00C9406C">
              <w:rPr>
                <w:rFonts w:cs="Arial"/>
                <w:szCs w:val="24"/>
              </w:rPr>
              <w:t xml:space="preserve"> for the College</w:t>
            </w:r>
            <w:r>
              <w:rPr>
                <w:rFonts w:cs="Arial"/>
                <w:szCs w:val="24"/>
              </w:rPr>
              <w:t xml:space="preserve">. </w:t>
            </w:r>
            <w:r w:rsidR="00C9406C">
              <w:rPr>
                <w:rFonts w:cs="Arial"/>
                <w:szCs w:val="24"/>
              </w:rPr>
              <w:t>C</w:t>
            </w:r>
            <w:r w:rsidR="00EB7A2E">
              <w:rPr>
                <w:rFonts w:cs="Arial"/>
                <w:szCs w:val="24"/>
              </w:rPr>
              <w:t>&amp;</w:t>
            </w:r>
            <w:r w:rsidR="00C9406C">
              <w:rPr>
                <w:rFonts w:cs="Arial"/>
                <w:szCs w:val="24"/>
              </w:rPr>
              <w:t>Q</w:t>
            </w:r>
            <w:r w:rsidR="00EB7A2E">
              <w:rPr>
                <w:rFonts w:cs="Arial"/>
                <w:szCs w:val="24"/>
              </w:rPr>
              <w:t xml:space="preserve"> Committee </w:t>
            </w:r>
            <w:r w:rsidR="00C9406C">
              <w:rPr>
                <w:rFonts w:cs="Arial"/>
                <w:szCs w:val="24"/>
              </w:rPr>
              <w:t>would give this issue particular focus.</w:t>
            </w:r>
          </w:p>
          <w:p w:rsidR="00C9406C" w:rsidRDefault="00C9406C" w:rsidP="006B1E88">
            <w:pPr>
              <w:keepLines/>
              <w:jc w:val="both"/>
              <w:rPr>
                <w:rFonts w:cs="Arial"/>
                <w:szCs w:val="24"/>
              </w:rPr>
            </w:pPr>
            <w:r>
              <w:rPr>
                <w:rFonts w:cs="Arial"/>
                <w:szCs w:val="24"/>
              </w:rPr>
              <w:t>A report on the results for summer 2016 was presented. It was reported that:</w:t>
            </w:r>
            <w:r w:rsidR="00EB7A2E">
              <w:rPr>
                <w:rFonts w:cs="Arial"/>
                <w:szCs w:val="24"/>
              </w:rPr>
              <w:t xml:space="preserve"> -</w:t>
            </w:r>
          </w:p>
          <w:p w:rsidR="00C9406C" w:rsidRDefault="00C9406C" w:rsidP="00C9406C">
            <w:pPr>
              <w:pStyle w:val="ListParagraph"/>
              <w:keepLines/>
              <w:numPr>
                <w:ilvl w:val="0"/>
                <w:numId w:val="22"/>
              </w:numPr>
              <w:jc w:val="both"/>
              <w:rPr>
                <w:rFonts w:cs="Arial"/>
                <w:szCs w:val="24"/>
              </w:rPr>
            </w:pPr>
            <w:r>
              <w:rPr>
                <w:rFonts w:cs="Arial"/>
                <w:szCs w:val="24"/>
              </w:rPr>
              <w:t>The number of students studying GCSE English had doubled in 2015/16;</w:t>
            </w:r>
          </w:p>
          <w:p w:rsidR="00C9406C" w:rsidRDefault="00C9406C" w:rsidP="00C9406C">
            <w:pPr>
              <w:pStyle w:val="ListParagraph"/>
              <w:keepLines/>
              <w:numPr>
                <w:ilvl w:val="0"/>
                <w:numId w:val="22"/>
              </w:numPr>
              <w:jc w:val="both"/>
              <w:rPr>
                <w:rFonts w:cs="Arial"/>
                <w:szCs w:val="24"/>
              </w:rPr>
            </w:pPr>
            <w:r>
              <w:rPr>
                <w:rFonts w:cs="Arial"/>
                <w:szCs w:val="24"/>
              </w:rPr>
              <w:t>The number of students studying GCSE Mathematics had trebled;</w:t>
            </w:r>
          </w:p>
          <w:p w:rsidR="00C9406C" w:rsidRDefault="00C9406C" w:rsidP="00C9406C">
            <w:pPr>
              <w:pStyle w:val="ListParagraph"/>
              <w:keepLines/>
              <w:numPr>
                <w:ilvl w:val="0"/>
                <w:numId w:val="22"/>
              </w:numPr>
              <w:jc w:val="both"/>
              <w:rPr>
                <w:rFonts w:cs="Arial"/>
                <w:szCs w:val="24"/>
              </w:rPr>
            </w:pPr>
            <w:r>
              <w:rPr>
                <w:rFonts w:cs="Arial"/>
                <w:szCs w:val="24"/>
              </w:rPr>
              <w:t xml:space="preserve"> All students who had failed to achieve a grade D at GCSE level or who had achieved Functional Skills at level 1 were required to follow a one year GCSE programme at the College;</w:t>
            </w:r>
          </w:p>
          <w:p w:rsidR="00C9406C" w:rsidRDefault="00C9406C" w:rsidP="00C9406C">
            <w:pPr>
              <w:pStyle w:val="ListParagraph"/>
              <w:keepLines/>
              <w:numPr>
                <w:ilvl w:val="0"/>
                <w:numId w:val="22"/>
              </w:numPr>
              <w:jc w:val="both"/>
              <w:rPr>
                <w:rFonts w:cs="Arial"/>
                <w:szCs w:val="24"/>
              </w:rPr>
            </w:pPr>
            <w:r>
              <w:rPr>
                <w:rFonts w:cs="Arial"/>
                <w:szCs w:val="24"/>
              </w:rPr>
              <w:lastRenderedPageBreak/>
              <w:t>GCSE English A* to C passes had declined for the second year in succession;</w:t>
            </w:r>
          </w:p>
          <w:p w:rsidR="00C9406C" w:rsidRDefault="00C9406C" w:rsidP="00C9406C">
            <w:pPr>
              <w:pStyle w:val="ListParagraph"/>
              <w:keepLines/>
              <w:numPr>
                <w:ilvl w:val="0"/>
                <w:numId w:val="22"/>
              </w:numPr>
              <w:jc w:val="both"/>
              <w:rPr>
                <w:rFonts w:cs="Arial"/>
                <w:szCs w:val="24"/>
              </w:rPr>
            </w:pPr>
            <w:r>
              <w:rPr>
                <w:rFonts w:cs="Arial"/>
                <w:szCs w:val="24"/>
              </w:rPr>
              <w:t>GCSE English and Maths A* to C passes were below the national average for FE colleges;</w:t>
            </w:r>
          </w:p>
          <w:p w:rsidR="00C9406C" w:rsidRDefault="00C9406C" w:rsidP="00C9406C">
            <w:pPr>
              <w:pStyle w:val="ListParagraph"/>
              <w:keepLines/>
              <w:numPr>
                <w:ilvl w:val="0"/>
                <w:numId w:val="22"/>
              </w:numPr>
              <w:jc w:val="both"/>
              <w:rPr>
                <w:rFonts w:cs="Arial"/>
                <w:szCs w:val="24"/>
              </w:rPr>
            </w:pPr>
            <w:r>
              <w:rPr>
                <w:rFonts w:cs="Arial"/>
                <w:szCs w:val="24"/>
              </w:rPr>
              <w:t xml:space="preserve">The number of students who had improved by one grade was 27% for GCSE English and 31% for Mathematics. </w:t>
            </w:r>
            <w:r w:rsidR="00826BC9">
              <w:rPr>
                <w:rFonts w:cs="Arial"/>
                <w:szCs w:val="24"/>
              </w:rPr>
              <w:t xml:space="preserve">National averages for GFEs were not available. </w:t>
            </w:r>
            <w:r>
              <w:rPr>
                <w:rFonts w:cs="Arial"/>
                <w:szCs w:val="24"/>
              </w:rPr>
              <w:t xml:space="preserve"> </w:t>
            </w:r>
          </w:p>
          <w:p w:rsidR="00C9406C" w:rsidRDefault="00CA5B96" w:rsidP="00CA5B96">
            <w:pPr>
              <w:keepLines/>
              <w:jc w:val="both"/>
              <w:rPr>
                <w:rFonts w:cs="Arial"/>
                <w:szCs w:val="24"/>
              </w:rPr>
            </w:pPr>
            <w:r>
              <w:rPr>
                <w:rFonts w:cs="Arial"/>
                <w:szCs w:val="24"/>
              </w:rPr>
              <w:t>The post-inspection action plan a</w:t>
            </w:r>
            <w:r w:rsidR="00EB7A2E">
              <w:rPr>
                <w:rFonts w:cs="Arial"/>
                <w:szCs w:val="24"/>
              </w:rPr>
              <w:t>nd the quality improvement plan for English and Maths was</w:t>
            </w:r>
            <w:r>
              <w:rPr>
                <w:rFonts w:cs="Arial"/>
                <w:szCs w:val="24"/>
              </w:rPr>
              <w:t xml:space="preserve"> discussed. These had focused on </w:t>
            </w:r>
          </w:p>
          <w:p w:rsidR="00CA5B96" w:rsidRDefault="00CA5B96" w:rsidP="00CA5B96">
            <w:pPr>
              <w:pStyle w:val="ListParagraph"/>
              <w:keepLines/>
              <w:numPr>
                <w:ilvl w:val="0"/>
                <w:numId w:val="23"/>
              </w:numPr>
              <w:jc w:val="both"/>
              <w:rPr>
                <w:rFonts w:cs="Arial"/>
                <w:szCs w:val="24"/>
              </w:rPr>
            </w:pPr>
            <w:r>
              <w:rPr>
                <w:rFonts w:cs="Arial"/>
                <w:szCs w:val="24"/>
              </w:rPr>
              <w:t>Increasing student attendance (83% or above)</w:t>
            </w:r>
            <w:r w:rsidR="00EB7A2E">
              <w:rPr>
                <w:rFonts w:cs="Arial"/>
                <w:szCs w:val="24"/>
              </w:rPr>
              <w:t>.</w:t>
            </w:r>
          </w:p>
          <w:p w:rsidR="00CA5B96" w:rsidRDefault="00CA5B96" w:rsidP="00CA5B96">
            <w:pPr>
              <w:pStyle w:val="ListParagraph"/>
              <w:keepLines/>
              <w:numPr>
                <w:ilvl w:val="0"/>
                <w:numId w:val="23"/>
              </w:numPr>
              <w:jc w:val="both"/>
              <w:rPr>
                <w:rFonts w:cs="Arial"/>
                <w:szCs w:val="24"/>
              </w:rPr>
            </w:pPr>
            <w:r>
              <w:rPr>
                <w:rFonts w:cs="Arial"/>
                <w:szCs w:val="24"/>
              </w:rPr>
              <w:t>Resolving timetabling issues by week 3</w:t>
            </w:r>
            <w:r w:rsidR="00EB7A2E">
              <w:rPr>
                <w:rFonts w:cs="Arial"/>
                <w:szCs w:val="24"/>
              </w:rPr>
              <w:t>.</w:t>
            </w:r>
          </w:p>
          <w:p w:rsidR="00CA5B96" w:rsidRDefault="00EB7A2E" w:rsidP="00CA5B96">
            <w:pPr>
              <w:pStyle w:val="ListParagraph"/>
              <w:keepLines/>
              <w:numPr>
                <w:ilvl w:val="0"/>
                <w:numId w:val="23"/>
              </w:numPr>
              <w:jc w:val="both"/>
              <w:rPr>
                <w:rFonts w:cs="Arial"/>
                <w:szCs w:val="24"/>
              </w:rPr>
            </w:pPr>
            <w:r>
              <w:rPr>
                <w:rFonts w:cs="Arial"/>
                <w:szCs w:val="24"/>
              </w:rPr>
              <w:t xml:space="preserve">Obtaining positive </w:t>
            </w:r>
            <w:r w:rsidR="00CA5B96">
              <w:rPr>
                <w:rFonts w:cs="Arial"/>
                <w:szCs w:val="24"/>
              </w:rPr>
              <w:t>student feedback on the English and Mathematics induction</w:t>
            </w:r>
            <w:r>
              <w:rPr>
                <w:rFonts w:cs="Arial"/>
                <w:szCs w:val="24"/>
              </w:rPr>
              <w:t>.</w:t>
            </w:r>
          </w:p>
          <w:p w:rsidR="00CA5B96" w:rsidRDefault="00CA5B96" w:rsidP="00CA5B96">
            <w:pPr>
              <w:pStyle w:val="ListParagraph"/>
              <w:keepLines/>
              <w:numPr>
                <w:ilvl w:val="0"/>
                <w:numId w:val="23"/>
              </w:numPr>
              <w:jc w:val="both"/>
              <w:rPr>
                <w:rFonts w:cs="Arial"/>
                <w:szCs w:val="24"/>
              </w:rPr>
            </w:pPr>
            <w:r>
              <w:rPr>
                <w:rFonts w:cs="Arial"/>
                <w:szCs w:val="24"/>
              </w:rPr>
              <w:t>Completion of the first controlled assessment at the end of week 6.</w:t>
            </w:r>
          </w:p>
          <w:p w:rsidR="00CA5B96" w:rsidRDefault="00CA5B96" w:rsidP="00CA5B96">
            <w:pPr>
              <w:pStyle w:val="ListParagraph"/>
              <w:keepLines/>
              <w:numPr>
                <w:ilvl w:val="0"/>
                <w:numId w:val="23"/>
              </w:numPr>
              <w:jc w:val="both"/>
              <w:rPr>
                <w:rFonts w:cs="Arial"/>
                <w:szCs w:val="24"/>
              </w:rPr>
            </w:pPr>
            <w:r>
              <w:rPr>
                <w:rFonts w:cs="Arial"/>
                <w:szCs w:val="24"/>
              </w:rPr>
              <w:t>Improving the quality of target setting of students</w:t>
            </w:r>
            <w:r w:rsidR="00EB7A2E">
              <w:rPr>
                <w:rFonts w:cs="Arial"/>
                <w:szCs w:val="24"/>
              </w:rPr>
              <w:t>.</w:t>
            </w:r>
          </w:p>
          <w:p w:rsidR="00CA5B96" w:rsidRDefault="00CA5B96" w:rsidP="00CA5B96">
            <w:pPr>
              <w:pStyle w:val="ListParagraph"/>
              <w:keepLines/>
              <w:numPr>
                <w:ilvl w:val="0"/>
                <w:numId w:val="23"/>
              </w:numPr>
              <w:jc w:val="both"/>
              <w:rPr>
                <w:rFonts w:cs="Arial"/>
                <w:szCs w:val="24"/>
              </w:rPr>
            </w:pPr>
            <w:r>
              <w:rPr>
                <w:rFonts w:cs="Arial"/>
                <w:szCs w:val="24"/>
              </w:rPr>
              <w:t>Improving the reliability of students’ predicted grades using success rate tracker</w:t>
            </w:r>
            <w:r w:rsidR="00EB7A2E">
              <w:rPr>
                <w:rFonts w:cs="Arial"/>
                <w:szCs w:val="24"/>
              </w:rPr>
              <w:t>.</w:t>
            </w:r>
          </w:p>
          <w:p w:rsidR="00CA5B96" w:rsidRDefault="00EB7A2E" w:rsidP="00CA5B96">
            <w:pPr>
              <w:pStyle w:val="ListParagraph"/>
              <w:keepLines/>
              <w:numPr>
                <w:ilvl w:val="0"/>
                <w:numId w:val="23"/>
              </w:numPr>
              <w:jc w:val="both"/>
              <w:rPr>
                <w:rFonts w:cs="Arial"/>
                <w:szCs w:val="24"/>
              </w:rPr>
            </w:pPr>
            <w:r>
              <w:rPr>
                <w:rFonts w:cs="Arial"/>
                <w:szCs w:val="24"/>
              </w:rPr>
              <w:t>The deployment of Teaching and L</w:t>
            </w:r>
            <w:r w:rsidR="00CA5B96">
              <w:rPr>
                <w:rFonts w:cs="Arial"/>
                <w:szCs w:val="24"/>
              </w:rPr>
              <w:t xml:space="preserve">earning coaches to work with </w:t>
            </w:r>
            <w:r w:rsidR="00574197">
              <w:rPr>
                <w:rFonts w:cs="Arial"/>
                <w:szCs w:val="24"/>
              </w:rPr>
              <w:t>English and Mathematics teachers</w:t>
            </w:r>
            <w:r>
              <w:rPr>
                <w:rFonts w:cs="Arial"/>
                <w:szCs w:val="24"/>
              </w:rPr>
              <w:t>.</w:t>
            </w:r>
          </w:p>
          <w:p w:rsidR="00574197" w:rsidRDefault="00574197" w:rsidP="00CA5B96">
            <w:pPr>
              <w:pStyle w:val="ListParagraph"/>
              <w:keepLines/>
              <w:numPr>
                <w:ilvl w:val="0"/>
                <w:numId w:val="23"/>
              </w:numPr>
              <w:jc w:val="both"/>
              <w:rPr>
                <w:rFonts w:cs="Arial"/>
                <w:szCs w:val="24"/>
              </w:rPr>
            </w:pPr>
            <w:r>
              <w:rPr>
                <w:rFonts w:cs="Arial"/>
                <w:szCs w:val="24"/>
              </w:rPr>
              <w:t>The recruitment of additional subject teachers</w:t>
            </w:r>
            <w:r w:rsidR="00EB7A2E">
              <w:rPr>
                <w:rFonts w:cs="Arial"/>
                <w:szCs w:val="24"/>
              </w:rPr>
              <w:t>.</w:t>
            </w:r>
          </w:p>
          <w:p w:rsidR="00574197" w:rsidRDefault="00574197" w:rsidP="00CA5B96">
            <w:pPr>
              <w:pStyle w:val="ListParagraph"/>
              <w:keepLines/>
              <w:numPr>
                <w:ilvl w:val="0"/>
                <w:numId w:val="23"/>
              </w:numPr>
              <w:jc w:val="both"/>
              <w:rPr>
                <w:rFonts w:cs="Arial"/>
                <w:szCs w:val="24"/>
              </w:rPr>
            </w:pPr>
            <w:r>
              <w:rPr>
                <w:rFonts w:cs="Arial"/>
                <w:szCs w:val="24"/>
              </w:rPr>
              <w:t xml:space="preserve">Limiting group sizes where possible. </w:t>
            </w:r>
          </w:p>
          <w:p w:rsidR="00574197" w:rsidRDefault="00574197" w:rsidP="00617869">
            <w:pPr>
              <w:keepLines/>
              <w:rPr>
                <w:rFonts w:cs="Arial"/>
                <w:szCs w:val="24"/>
              </w:rPr>
            </w:pPr>
            <w:r>
              <w:rPr>
                <w:rFonts w:cs="Arial"/>
                <w:szCs w:val="24"/>
              </w:rPr>
              <w:t>The Assistant Principal now has curriculum responsibility for English and Mathematics only. A new Head of Mathematics had been appointed. The Head of English was leaving th</w:t>
            </w:r>
            <w:r w:rsidR="00EB7A2E">
              <w:rPr>
                <w:rFonts w:cs="Arial"/>
                <w:szCs w:val="24"/>
              </w:rPr>
              <w:t>e College and the post was being advertised.</w:t>
            </w:r>
            <w:r>
              <w:rPr>
                <w:rFonts w:cs="Arial"/>
                <w:szCs w:val="24"/>
              </w:rPr>
              <w:t xml:space="preserve"> </w:t>
            </w:r>
          </w:p>
          <w:p w:rsidR="00EB7A2E" w:rsidRDefault="00574197" w:rsidP="00574197">
            <w:pPr>
              <w:keepLines/>
              <w:jc w:val="both"/>
              <w:rPr>
                <w:rFonts w:cs="Arial"/>
                <w:szCs w:val="24"/>
              </w:rPr>
            </w:pPr>
            <w:r>
              <w:rPr>
                <w:rFonts w:cs="Arial"/>
                <w:szCs w:val="24"/>
              </w:rPr>
              <w:t>The Committee asked whether staff turnover and teacher recruitment were particular issues in this area. Although there was churn it was not considered to be particularly high. Recruitment of new teachers was difficult but the College had received a good number of quality applications in response to recent advertisements. The College advertised in FE Week,</w:t>
            </w:r>
            <w:r w:rsidR="00EB7A2E">
              <w:rPr>
                <w:rFonts w:cs="Arial"/>
                <w:szCs w:val="24"/>
              </w:rPr>
              <w:t xml:space="preserve"> </w:t>
            </w:r>
            <w:proofErr w:type="spellStart"/>
            <w:r w:rsidR="00EB7A2E">
              <w:rPr>
                <w:rFonts w:cs="Arial"/>
                <w:szCs w:val="24"/>
              </w:rPr>
              <w:t>Eteach</w:t>
            </w:r>
            <w:proofErr w:type="spellEnd"/>
            <w:r w:rsidR="00EB7A2E">
              <w:rPr>
                <w:rFonts w:cs="Arial"/>
                <w:szCs w:val="24"/>
              </w:rPr>
              <w:t xml:space="preserve"> and the TES. A suggestion</w:t>
            </w:r>
            <w:r>
              <w:rPr>
                <w:rFonts w:cs="Arial"/>
                <w:szCs w:val="24"/>
              </w:rPr>
              <w:t xml:space="preserve"> </w:t>
            </w:r>
            <w:r w:rsidR="00EB7A2E">
              <w:rPr>
                <w:rFonts w:cs="Arial"/>
                <w:szCs w:val="24"/>
              </w:rPr>
              <w:t xml:space="preserve">was </w:t>
            </w:r>
            <w:r>
              <w:rPr>
                <w:rFonts w:cs="Arial"/>
                <w:szCs w:val="24"/>
              </w:rPr>
              <w:t>made</w:t>
            </w:r>
            <w:r w:rsidR="00EB7A2E">
              <w:rPr>
                <w:rFonts w:cs="Arial"/>
                <w:szCs w:val="24"/>
              </w:rPr>
              <w:t xml:space="preserve"> by members of the Committee</w:t>
            </w:r>
            <w:r>
              <w:rPr>
                <w:rFonts w:cs="Arial"/>
                <w:szCs w:val="24"/>
              </w:rPr>
              <w:t xml:space="preserve"> to </w:t>
            </w:r>
            <w:r w:rsidR="00305891">
              <w:rPr>
                <w:rFonts w:cs="Arial"/>
                <w:szCs w:val="24"/>
              </w:rPr>
              <w:t xml:space="preserve">consider the </w:t>
            </w:r>
            <w:r>
              <w:rPr>
                <w:rFonts w:cs="Arial"/>
                <w:szCs w:val="24"/>
              </w:rPr>
              <w:t xml:space="preserve">offer </w:t>
            </w:r>
            <w:r w:rsidR="00305891">
              <w:rPr>
                <w:rFonts w:cs="Arial"/>
                <w:szCs w:val="24"/>
              </w:rPr>
              <w:t xml:space="preserve">of </w:t>
            </w:r>
            <w:r>
              <w:rPr>
                <w:rFonts w:cs="Arial"/>
                <w:szCs w:val="24"/>
              </w:rPr>
              <w:t xml:space="preserve">an introduction fee </w:t>
            </w:r>
            <w:r w:rsidR="00EB7A2E">
              <w:rPr>
                <w:rFonts w:cs="Arial"/>
                <w:szCs w:val="24"/>
              </w:rPr>
              <w:t>to existing</w:t>
            </w:r>
            <w:r>
              <w:rPr>
                <w:rFonts w:cs="Arial"/>
                <w:szCs w:val="24"/>
              </w:rPr>
              <w:t xml:space="preserve"> </w:t>
            </w:r>
            <w:r w:rsidR="00305891">
              <w:rPr>
                <w:rFonts w:cs="Arial"/>
                <w:szCs w:val="24"/>
              </w:rPr>
              <w:t xml:space="preserve">staff for recommending </w:t>
            </w:r>
            <w:r>
              <w:rPr>
                <w:rFonts w:cs="Arial"/>
                <w:szCs w:val="24"/>
              </w:rPr>
              <w:t>candidates who were</w:t>
            </w:r>
            <w:r w:rsidR="00EB7A2E">
              <w:rPr>
                <w:rFonts w:cs="Arial"/>
                <w:szCs w:val="24"/>
              </w:rPr>
              <w:t xml:space="preserve"> </w:t>
            </w:r>
            <w:r>
              <w:rPr>
                <w:rFonts w:cs="Arial"/>
                <w:szCs w:val="24"/>
              </w:rPr>
              <w:t xml:space="preserve">appointed </w:t>
            </w:r>
            <w:r w:rsidRPr="00574197">
              <w:rPr>
                <w:rFonts w:cs="Arial"/>
                <w:b/>
                <w:szCs w:val="24"/>
              </w:rPr>
              <w:t>(ACTION: MH/CH).</w:t>
            </w:r>
            <w:r w:rsidR="00305891">
              <w:rPr>
                <w:rFonts w:cs="Arial"/>
                <w:b/>
                <w:szCs w:val="24"/>
              </w:rPr>
              <w:t xml:space="preserve"> </w:t>
            </w:r>
            <w:r w:rsidR="00305891">
              <w:rPr>
                <w:rFonts w:cs="Arial"/>
                <w:szCs w:val="24"/>
              </w:rPr>
              <w:t xml:space="preserve">NESCOT was working with </w:t>
            </w:r>
          </w:p>
          <w:p w:rsidR="00617869" w:rsidRDefault="00305891" w:rsidP="00574197">
            <w:pPr>
              <w:keepLines/>
              <w:jc w:val="both"/>
              <w:rPr>
                <w:rFonts w:cs="Arial"/>
                <w:szCs w:val="24"/>
              </w:rPr>
            </w:pPr>
            <w:r>
              <w:rPr>
                <w:rFonts w:cs="Arial"/>
                <w:szCs w:val="24"/>
              </w:rPr>
              <w:lastRenderedPageBreak/>
              <w:t xml:space="preserve">other colleges in Surrey to identify best practice and to introduce peer reviews. Brooklands College had </w:t>
            </w:r>
            <w:proofErr w:type="gramStart"/>
            <w:r>
              <w:rPr>
                <w:rFonts w:cs="Arial"/>
                <w:szCs w:val="24"/>
              </w:rPr>
              <w:t>particularly</w:t>
            </w:r>
            <w:r w:rsidR="00617869">
              <w:rPr>
                <w:rFonts w:cs="Arial"/>
                <w:szCs w:val="24"/>
              </w:rPr>
              <w:t xml:space="preserve"> </w:t>
            </w:r>
            <w:r>
              <w:rPr>
                <w:rFonts w:cs="Arial"/>
                <w:szCs w:val="24"/>
              </w:rPr>
              <w:t xml:space="preserve"> good</w:t>
            </w:r>
            <w:proofErr w:type="gramEnd"/>
            <w:r>
              <w:rPr>
                <w:rFonts w:cs="Arial"/>
                <w:szCs w:val="24"/>
              </w:rPr>
              <w:t xml:space="preserve"> results in Engli</w:t>
            </w:r>
            <w:r w:rsidR="00617869">
              <w:rPr>
                <w:rFonts w:cs="Arial"/>
                <w:szCs w:val="24"/>
              </w:rPr>
              <w:t xml:space="preserve">sh and a visit was to take place </w:t>
            </w:r>
            <w:r>
              <w:rPr>
                <w:rFonts w:cs="Arial"/>
                <w:szCs w:val="24"/>
              </w:rPr>
              <w:t xml:space="preserve">(Brooklands used the </w:t>
            </w:r>
            <w:proofErr w:type="spellStart"/>
            <w:r>
              <w:rPr>
                <w:rFonts w:cs="Arial"/>
                <w:szCs w:val="24"/>
              </w:rPr>
              <w:t>iGCSE</w:t>
            </w:r>
            <w:proofErr w:type="spellEnd"/>
            <w:r>
              <w:rPr>
                <w:rFonts w:cs="Arial"/>
                <w:szCs w:val="24"/>
              </w:rPr>
              <w:t xml:space="preserve"> qualification).  Collaboration was also taking place in relation to focused professional development for English and Mathematics teachers</w:t>
            </w:r>
            <w:r w:rsidR="00617869">
              <w:rPr>
                <w:rFonts w:cs="Arial"/>
                <w:szCs w:val="24"/>
              </w:rPr>
              <w:t>.</w:t>
            </w:r>
          </w:p>
          <w:p w:rsidR="00305891" w:rsidRDefault="00305891" w:rsidP="00456BD3">
            <w:pPr>
              <w:keepLines/>
              <w:jc w:val="both"/>
              <w:rPr>
                <w:rFonts w:cs="Arial"/>
                <w:szCs w:val="24"/>
              </w:rPr>
            </w:pPr>
            <w:r>
              <w:rPr>
                <w:rFonts w:cs="Arial"/>
                <w:szCs w:val="24"/>
              </w:rPr>
              <w:t xml:space="preserve">A review of last year had indicated that the balance of </w:t>
            </w:r>
            <w:r w:rsidR="00EB7A2E">
              <w:rPr>
                <w:rFonts w:cs="Arial"/>
                <w:szCs w:val="24"/>
              </w:rPr>
              <w:t xml:space="preserve">curriculum </w:t>
            </w:r>
            <w:r>
              <w:rPr>
                <w:rFonts w:cs="Arial"/>
                <w:szCs w:val="24"/>
              </w:rPr>
              <w:t>focus between the controlled assessments and exam practice was wrong. There would be more focus on exam practice and past papers this year. As the course was a one year programme it was not possible to teach the whole syllabus. It was also felt that it would be better to pay attention to E to C grade questions</w:t>
            </w:r>
            <w:r w:rsidR="00EB7A2E">
              <w:rPr>
                <w:rFonts w:cs="Arial"/>
                <w:szCs w:val="24"/>
              </w:rPr>
              <w:t xml:space="preserve"> rather than the more challenging areas of the syllabus</w:t>
            </w:r>
            <w:r>
              <w:rPr>
                <w:rFonts w:cs="Arial"/>
                <w:szCs w:val="24"/>
              </w:rPr>
              <w:t>.</w:t>
            </w:r>
            <w:r w:rsidR="00631F7D">
              <w:rPr>
                <w:rFonts w:cs="Arial"/>
                <w:szCs w:val="24"/>
              </w:rPr>
              <w:t xml:space="preserve"> There was discussion about the identification of students’ weaker areas</w:t>
            </w:r>
            <w:r w:rsidR="00EB7A2E">
              <w:rPr>
                <w:rFonts w:cs="Arial"/>
                <w:szCs w:val="24"/>
              </w:rPr>
              <w:t xml:space="preserve"> </w:t>
            </w:r>
            <w:r w:rsidR="00631F7D">
              <w:rPr>
                <w:rFonts w:cs="Arial"/>
                <w:szCs w:val="24"/>
              </w:rPr>
              <w:t xml:space="preserve">and knowledge gaps and how to focus on these in the improvement strategy. Students were </w:t>
            </w:r>
            <w:r w:rsidR="00F67FE9">
              <w:rPr>
                <w:rFonts w:cs="Arial"/>
                <w:szCs w:val="24"/>
              </w:rPr>
              <w:t xml:space="preserve">individually </w:t>
            </w:r>
            <w:r w:rsidR="00631F7D">
              <w:rPr>
                <w:rFonts w:cs="Arial"/>
                <w:szCs w:val="24"/>
              </w:rPr>
              <w:t>assessed at the start of each topic to determine their level and the</w:t>
            </w:r>
            <w:r w:rsidR="00F67FE9">
              <w:rPr>
                <w:rFonts w:cs="Arial"/>
                <w:szCs w:val="24"/>
              </w:rPr>
              <w:t>ir areas for improvement. Students’ confidence in English and Mathematics was a very important factor in determining their success. The use</w:t>
            </w:r>
            <w:r w:rsidR="0038302B">
              <w:rPr>
                <w:rFonts w:cs="Arial"/>
                <w:szCs w:val="24"/>
              </w:rPr>
              <w:t xml:space="preserve"> </w:t>
            </w:r>
            <w:r w:rsidR="00F67FE9">
              <w:rPr>
                <w:rFonts w:cs="Arial"/>
                <w:szCs w:val="24"/>
              </w:rPr>
              <w:t xml:space="preserve">of ‘Growth </w:t>
            </w:r>
            <w:proofErr w:type="spellStart"/>
            <w:r w:rsidR="00F67FE9">
              <w:rPr>
                <w:rFonts w:cs="Arial"/>
                <w:szCs w:val="24"/>
              </w:rPr>
              <w:t>Mindsets’</w:t>
            </w:r>
            <w:proofErr w:type="spellEnd"/>
            <w:r w:rsidR="00F67FE9">
              <w:rPr>
                <w:rFonts w:cs="Arial"/>
                <w:szCs w:val="24"/>
              </w:rPr>
              <w:t xml:space="preserve"> was advocated at some colleges. The key was to motivate students to overcome their lack of</w:t>
            </w:r>
            <w:r w:rsidR="00456BD3">
              <w:rPr>
                <w:rFonts w:cs="Arial"/>
                <w:szCs w:val="24"/>
              </w:rPr>
              <w:t xml:space="preserve"> self-</w:t>
            </w:r>
            <w:r w:rsidR="00F67FE9">
              <w:rPr>
                <w:rFonts w:cs="Arial"/>
                <w:szCs w:val="24"/>
              </w:rPr>
              <w:t>confidence</w:t>
            </w:r>
            <w:r w:rsidR="00C23978">
              <w:rPr>
                <w:rFonts w:cs="Arial"/>
                <w:szCs w:val="24"/>
              </w:rPr>
              <w:t xml:space="preserve"> </w:t>
            </w:r>
            <w:r w:rsidR="00F67FE9">
              <w:rPr>
                <w:rFonts w:cs="Arial"/>
                <w:szCs w:val="24"/>
              </w:rPr>
              <w:t xml:space="preserve">and apprehension in studying subjects that they perceived they were not </w:t>
            </w:r>
            <w:r w:rsidR="00456BD3">
              <w:rPr>
                <w:rFonts w:cs="Arial"/>
                <w:szCs w:val="24"/>
              </w:rPr>
              <w:t xml:space="preserve">good at and in which they </w:t>
            </w:r>
            <w:r w:rsidR="00C475D7">
              <w:rPr>
                <w:rFonts w:cs="Arial"/>
                <w:szCs w:val="24"/>
              </w:rPr>
              <w:t xml:space="preserve">had </w:t>
            </w:r>
            <w:bookmarkStart w:id="0" w:name="_GoBack"/>
            <w:bookmarkEnd w:id="0"/>
            <w:r w:rsidR="00456BD3">
              <w:rPr>
                <w:rFonts w:cs="Arial"/>
                <w:szCs w:val="24"/>
              </w:rPr>
              <w:t xml:space="preserve">not </w:t>
            </w:r>
            <w:r w:rsidR="00EB7A2E">
              <w:rPr>
                <w:rFonts w:cs="Arial"/>
                <w:szCs w:val="24"/>
              </w:rPr>
              <w:t xml:space="preserve">previously </w:t>
            </w:r>
            <w:r w:rsidR="00456BD3">
              <w:rPr>
                <w:rFonts w:cs="Arial"/>
                <w:szCs w:val="24"/>
              </w:rPr>
              <w:t xml:space="preserve">been successful. </w:t>
            </w:r>
          </w:p>
          <w:p w:rsidR="00456BD3" w:rsidRDefault="00456BD3" w:rsidP="00456BD3">
            <w:pPr>
              <w:keepLines/>
              <w:jc w:val="both"/>
              <w:rPr>
                <w:rFonts w:cs="Arial"/>
                <w:szCs w:val="24"/>
              </w:rPr>
            </w:pPr>
            <w:r>
              <w:rPr>
                <w:rFonts w:cs="Arial"/>
                <w:szCs w:val="24"/>
              </w:rPr>
              <w:t xml:space="preserve">It was also reported that the grade boundaries had changed quite considerably last year and this had affected student outcomes across the GFE college sector. </w:t>
            </w:r>
          </w:p>
          <w:p w:rsidR="00456BD3" w:rsidRDefault="00456BD3" w:rsidP="00456BD3">
            <w:pPr>
              <w:keepLines/>
              <w:jc w:val="both"/>
              <w:rPr>
                <w:rFonts w:cs="Arial"/>
                <w:szCs w:val="24"/>
              </w:rPr>
            </w:pPr>
            <w:r>
              <w:rPr>
                <w:rFonts w:cs="Arial"/>
                <w:szCs w:val="24"/>
              </w:rPr>
              <w:t xml:space="preserve">Student governors discussed their experience of English and Mathematics classes. There was concern about the lack of homework setting, the absence of sanctions for students who did not complete work and continuing issues of disruptive behaviour by some students in student groups. This was holding back students who wanted to achieve. There was discussion about how widespread these issues were and what would be done to address them. </w:t>
            </w:r>
          </w:p>
          <w:p w:rsidR="00EB7A2E" w:rsidRPr="008857EA" w:rsidRDefault="00EB7A2E" w:rsidP="00EB7A2E">
            <w:pPr>
              <w:keepLines/>
              <w:jc w:val="both"/>
              <w:rPr>
                <w:rFonts w:cs="Arial"/>
                <w:szCs w:val="24"/>
              </w:rPr>
            </w:pPr>
            <w:r>
              <w:rPr>
                <w:rFonts w:cs="Arial"/>
                <w:szCs w:val="24"/>
              </w:rPr>
              <w:t xml:space="preserve">The report was received. </w:t>
            </w:r>
          </w:p>
          <w:p w:rsidR="00456BD3" w:rsidRDefault="00456BD3" w:rsidP="00456BD3">
            <w:pPr>
              <w:keepLines/>
              <w:jc w:val="both"/>
              <w:rPr>
                <w:rFonts w:cs="Arial"/>
                <w:b/>
                <w:szCs w:val="24"/>
              </w:rPr>
            </w:pPr>
            <w:r>
              <w:rPr>
                <w:rFonts w:cs="Arial"/>
                <w:szCs w:val="24"/>
              </w:rPr>
              <w:lastRenderedPageBreak/>
              <w:t xml:space="preserve">The Principal reported that an external adviser would be engaged to review the area, which would now take place when the new Heads of Departments for English and Mathematics were in post. A full report on student progress would be brought to the next meeting </w:t>
            </w:r>
            <w:r w:rsidRPr="00456BD3">
              <w:rPr>
                <w:rFonts w:cs="Arial"/>
                <w:b/>
                <w:szCs w:val="24"/>
              </w:rPr>
              <w:t>(ACTION: MH).</w:t>
            </w:r>
          </w:p>
          <w:p w:rsidR="0038302B" w:rsidRDefault="0038302B" w:rsidP="00456BD3">
            <w:pPr>
              <w:keepLines/>
              <w:jc w:val="both"/>
              <w:rPr>
                <w:rFonts w:cs="Arial"/>
                <w:szCs w:val="24"/>
              </w:rPr>
            </w:pPr>
            <w:r>
              <w:rPr>
                <w:rFonts w:cs="Arial"/>
                <w:szCs w:val="24"/>
              </w:rPr>
              <w:t>The Committee reviewed the data on student outcomes in 2015/16.</w:t>
            </w:r>
            <w:r w:rsidR="00C70D41">
              <w:rPr>
                <w:rFonts w:cs="Arial"/>
                <w:szCs w:val="24"/>
              </w:rPr>
              <w:t xml:space="preserve"> The Committee noted that:</w:t>
            </w:r>
            <w:r w:rsidR="008857EA">
              <w:rPr>
                <w:rFonts w:cs="Arial"/>
                <w:szCs w:val="24"/>
              </w:rPr>
              <w:t xml:space="preserve"> -</w:t>
            </w:r>
          </w:p>
          <w:p w:rsidR="00C70D41" w:rsidRDefault="00C70D41" w:rsidP="00C70D41">
            <w:pPr>
              <w:pStyle w:val="ListParagraph"/>
              <w:keepLines/>
              <w:numPr>
                <w:ilvl w:val="0"/>
                <w:numId w:val="24"/>
              </w:numPr>
              <w:jc w:val="both"/>
              <w:rPr>
                <w:rFonts w:cs="Arial"/>
                <w:szCs w:val="24"/>
              </w:rPr>
            </w:pPr>
            <w:r>
              <w:rPr>
                <w:rFonts w:cs="Arial"/>
                <w:szCs w:val="24"/>
              </w:rPr>
              <w:t>Headline Achievement rates (previously called Success rates) had fallen slightly by 0.3% but were still nearly 4% above the national average. This was at a qualification level and not Study Programme level whic</w:t>
            </w:r>
            <w:r w:rsidR="00EB7A2E">
              <w:rPr>
                <w:rFonts w:cs="Arial"/>
                <w:szCs w:val="24"/>
              </w:rPr>
              <w:t>h included English and Maths. If</w:t>
            </w:r>
            <w:r>
              <w:rPr>
                <w:rFonts w:cs="Arial"/>
                <w:szCs w:val="24"/>
              </w:rPr>
              <w:t xml:space="preserve"> reported at Study Programme level</w:t>
            </w:r>
            <w:r w:rsidR="00EB7A2E">
              <w:rPr>
                <w:rFonts w:cs="Arial"/>
                <w:szCs w:val="24"/>
              </w:rPr>
              <w:t>,</w:t>
            </w:r>
            <w:r>
              <w:rPr>
                <w:rFonts w:cs="Arial"/>
                <w:szCs w:val="24"/>
              </w:rPr>
              <w:t xml:space="preserve"> the English and Maths results would pull the </w:t>
            </w:r>
            <w:r w:rsidR="00EB7A2E">
              <w:rPr>
                <w:rFonts w:cs="Arial"/>
                <w:szCs w:val="24"/>
              </w:rPr>
              <w:t xml:space="preserve">overall </w:t>
            </w:r>
            <w:r>
              <w:rPr>
                <w:rFonts w:cs="Arial"/>
                <w:szCs w:val="24"/>
              </w:rPr>
              <w:t xml:space="preserve">Achievement rate down. </w:t>
            </w:r>
          </w:p>
          <w:p w:rsidR="00C70D41" w:rsidRDefault="00C70D41" w:rsidP="00C70D41">
            <w:pPr>
              <w:pStyle w:val="ListParagraph"/>
              <w:keepLines/>
              <w:numPr>
                <w:ilvl w:val="0"/>
                <w:numId w:val="24"/>
              </w:numPr>
              <w:jc w:val="both"/>
              <w:rPr>
                <w:rFonts w:cs="Arial"/>
                <w:szCs w:val="24"/>
              </w:rPr>
            </w:pPr>
            <w:r>
              <w:rPr>
                <w:rFonts w:cs="Arial"/>
                <w:szCs w:val="24"/>
              </w:rPr>
              <w:t>Headline Achievement rates were above national average for 16-18 students and 19+</w:t>
            </w:r>
            <w:r w:rsidR="00DD1B7A">
              <w:rPr>
                <w:rFonts w:cs="Arial"/>
                <w:szCs w:val="24"/>
              </w:rPr>
              <w:t>.</w:t>
            </w:r>
          </w:p>
          <w:p w:rsidR="00C70D41" w:rsidRDefault="00C70D41" w:rsidP="00C70D41">
            <w:pPr>
              <w:pStyle w:val="ListParagraph"/>
              <w:keepLines/>
              <w:numPr>
                <w:ilvl w:val="0"/>
                <w:numId w:val="24"/>
              </w:numPr>
              <w:jc w:val="both"/>
              <w:rPr>
                <w:rFonts w:cs="Arial"/>
                <w:szCs w:val="24"/>
              </w:rPr>
            </w:pPr>
            <w:r>
              <w:rPr>
                <w:rFonts w:cs="Arial"/>
                <w:szCs w:val="24"/>
              </w:rPr>
              <w:t>Level 3 results were very good for 19+ students</w:t>
            </w:r>
            <w:r w:rsidR="00AC59A4">
              <w:rPr>
                <w:rFonts w:cs="Arial"/>
                <w:szCs w:val="24"/>
              </w:rPr>
              <w:t xml:space="preserve"> in particular at 100%</w:t>
            </w:r>
            <w:r w:rsidR="00DD1B7A">
              <w:rPr>
                <w:rFonts w:cs="Arial"/>
                <w:szCs w:val="24"/>
              </w:rPr>
              <w:t>.</w:t>
            </w:r>
          </w:p>
          <w:p w:rsidR="00C70D41" w:rsidRDefault="00AC59A4" w:rsidP="00C70D41">
            <w:pPr>
              <w:pStyle w:val="ListParagraph"/>
              <w:keepLines/>
              <w:numPr>
                <w:ilvl w:val="0"/>
                <w:numId w:val="24"/>
              </w:numPr>
              <w:jc w:val="both"/>
              <w:rPr>
                <w:rFonts w:cs="Arial"/>
                <w:szCs w:val="24"/>
              </w:rPr>
            </w:pPr>
            <w:r>
              <w:rPr>
                <w:rFonts w:cs="Arial"/>
                <w:szCs w:val="24"/>
              </w:rPr>
              <w:t xml:space="preserve">Outcomes at departmental level indicated concerns about Plastering, Brickwork, Early Years and Art and Design. The background to these issues were understood and being addressed. </w:t>
            </w:r>
          </w:p>
          <w:p w:rsidR="00AC59A4" w:rsidRDefault="00AC59A4" w:rsidP="00C70D41">
            <w:pPr>
              <w:pStyle w:val="ListParagraph"/>
              <w:keepLines/>
              <w:numPr>
                <w:ilvl w:val="0"/>
                <w:numId w:val="24"/>
              </w:numPr>
              <w:jc w:val="both"/>
              <w:rPr>
                <w:rFonts w:cs="Arial"/>
                <w:szCs w:val="24"/>
              </w:rPr>
            </w:pPr>
            <w:r>
              <w:rPr>
                <w:rFonts w:cs="Arial"/>
                <w:szCs w:val="24"/>
              </w:rPr>
              <w:t>Media and Gaming, Care and Foundation Learning were below national benchmark. All other departments were above national average.</w:t>
            </w:r>
          </w:p>
          <w:p w:rsidR="00AC59A4" w:rsidRDefault="00AC59A4" w:rsidP="00C70D41">
            <w:pPr>
              <w:pStyle w:val="ListParagraph"/>
              <w:keepLines/>
              <w:numPr>
                <w:ilvl w:val="0"/>
                <w:numId w:val="24"/>
              </w:numPr>
              <w:jc w:val="both"/>
              <w:rPr>
                <w:rFonts w:cs="Arial"/>
                <w:szCs w:val="24"/>
              </w:rPr>
            </w:pPr>
            <w:r>
              <w:rPr>
                <w:rFonts w:cs="Arial"/>
                <w:szCs w:val="24"/>
              </w:rPr>
              <w:t>98% of students had achieved positive (Intended) destinations, compared to 90% in 2014/15. It was noted that actual destinations are now also collected</w:t>
            </w:r>
            <w:r w:rsidR="008857EA">
              <w:rPr>
                <w:rFonts w:cs="Arial"/>
                <w:szCs w:val="24"/>
              </w:rPr>
              <w:t xml:space="preserve"> and would be reported to the next meeting </w:t>
            </w:r>
            <w:r w:rsidR="008857EA" w:rsidRPr="008857EA">
              <w:rPr>
                <w:rFonts w:cs="Arial"/>
                <w:b/>
                <w:szCs w:val="24"/>
              </w:rPr>
              <w:t>(ACTION: DS).</w:t>
            </w:r>
          </w:p>
          <w:p w:rsidR="00AC59A4" w:rsidRDefault="00AC59A4" w:rsidP="00C70D41">
            <w:pPr>
              <w:pStyle w:val="ListParagraph"/>
              <w:keepLines/>
              <w:numPr>
                <w:ilvl w:val="0"/>
                <w:numId w:val="24"/>
              </w:numPr>
              <w:jc w:val="both"/>
              <w:rPr>
                <w:rFonts w:cs="Arial"/>
                <w:szCs w:val="24"/>
              </w:rPr>
            </w:pPr>
            <w:r>
              <w:rPr>
                <w:rFonts w:cs="Arial"/>
                <w:szCs w:val="24"/>
              </w:rPr>
              <w:t>The FE progression rate below Level 3 had dipped slightly from 71% to 67%.</w:t>
            </w:r>
          </w:p>
          <w:p w:rsidR="00A600E3" w:rsidRDefault="00A600E3" w:rsidP="00C70D41">
            <w:pPr>
              <w:pStyle w:val="ListParagraph"/>
              <w:keepLines/>
              <w:numPr>
                <w:ilvl w:val="0"/>
                <w:numId w:val="24"/>
              </w:numPr>
              <w:jc w:val="both"/>
              <w:rPr>
                <w:rFonts w:cs="Arial"/>
                <w:szCs w:val="24"/>
              </w:rPr>
            </w:pPr>
            <w:r>
              <w:rPr>
                <w:rFonts w:cs="Arial"/>
                <w:szCs w:val="24"/>
              </w:rPr>
              <w:t>The number of high grade achievements (Merit and Distinctions) had declined at both Level 2 and 3.</w:t>
            </w:r>
          </w:p>
          <w:p w:rsidR="00A600E3" w:rsidRDefault="00A600E3" w:rsidP="00C70D41">
            <w:pPr>
              <w:pStyle w:val="ListParagraph"/>
              <w:keepLines/>
              <w:numPr>
                <w:ilvl w:val="0"/>
                <w:numId w:val="24"/>
              </w:numPr>
              <w:jc w:val="both"/>
              <w:rPr>
                <w:rFonts w:cs="Arial"/>
                <w:szCs w:val="24"/>
              </w:rPr>
            </w:pPr>
            <w:r>
              <w:rPr>
                <w:rFonts w:cs="Arial"/>
                <w:szCs w:val="24"/>
              </w:rPr>
              <w:lastRenderedPageBreak/>
              <w:t>Analysis by protected character</w:t>
            </w:r>
            <w:r w:rsidR="00523484">
              <w:rPr>
                <w:rFonts w:cs="Arial"/>
                <w:szCs w:val="24"/>
              </w:rPr>
              <w:t>istics indicated performance differentials by ethnicity and disability which were being reviewed. There was a small differential between male and female students (female students achieved higher success rates) but this in part reflected the gender profile on certain course areas that were known to be underperforming</w:t>
            </w:r>
            <w:r w:rsidR="00DD1B7A">
              <w:rPr>
                <w:rFonts w:cs="Arial"/>
                <w:szCs w:val="24"/>
              </w:rPr>
              <w:t>,</w:t>
            </w:r>
            <w:r w:rsidR="00523484">
              <w:rPr>
                <w:rFonts w:cs="Arial"/>
                <w:szCs w:val="24"/>
              </w:rPr>
              <w:t xml:space="preserve"> such as the construction trades. </w:t>
            </w:r>
          </w:p>
          <w:p w:rsidR="00523484" w:rsidRDefault="00523484" w:rsidP="00C70D41">
            <w:pPr>
              <w:pStyle w:val="ListParagraph"/>
              <w:keepLines/>
              <w:numPr>
                <w:ilvl w:val="0"/>
                <w:numId w:val="24"/>
              </w:numPr>
              <w:jc w:val="both"/>
              <w:rPr>
                <w:rFonts w:cs="Arial"/>
                <w:szCs w:val="24"/>
              </w:rPr>
            </w:pPr>
            <w:r>
              <w:rPr>
                <w:rFonts w:cs="Arial"/>
                <w:szCs w:val="24"/>
              </w:rPr>
              <w:t xml:space="preserve">Apprenticeship success rates were very good at 19+ and above national benchmark; performance was less good for younger apprentices and were currently below national average but this was in part </w:t>
            </w:r>
            <w:r w:rsidR="00DD1B7A">
              <w:rPr>
                <w:rFonts w:cs="Arial"/>
                <w:szCs w:val="24"/>
              </w:rPr>
              <w:t xml:space="preserve">as </w:t>
            </w:r>
            <w:r>
              <w:rPr>
                <w:rFonts w:cs="Arial"/>
                <w:szCs w:val="24"/>
              </w:rPr>
              <w:t xml:space="preserve">a </w:t>
            </w:r>
            <w:r w:rsidR="00DD1B7A">
              <w:rPr>
                <w:rFonts w:cs="Arial"/>
                <w:szCs w:val="24"/>
              </w:rPr>
              <w:t xml:space="preserve">result </w:t>
            </w:r>
            <w:r>
              <w:rPr>
                <w:rFonts w:cs="Arial"/>
                <w:szCs w:val="24"/>
              </w:rPr>
              <w:t xml:space="preserve">of the late processing of results. </w:t>
            </w:r>
          </w:p>
          <w:p w:rsidR="00523484" w:rsidRDefault="00523484" w:rsidP="00C70D41">
            <w:pPr>
              <w:pStyle w:val="ListParagraph"/>
              <w:keepLines/>
              <w:numPr>
                <w:ilvl w:val="0"/>
                <w:numId w:val="24"/>
              </w:numPr>
              <w:jc w:val="both"/>
              <w:rPr>
                <w:rFonts w:cs="Arial"/>
                <w:szCs w:val="24"/>
              </w:rPr>
            </w:pPr>
            <w:r>
              <w:rPr>
                <w:rFonts w:cs="Arial"/>
                <w:szCs w:val="24"/>
              </w:rPr>
              <w:t xml:space="preserve">It was noted that most 19+ apprenticeship provision was delivered by sub-contractors whereas 16-18 provision was largely in-house. This should be noted in the context of the strategy to move to more in-house apprenticeship provision. </w:t>
            </w:r>
          </w:p>
          <w:p w:rsidR="00FC5BB8" w:rsidRDefault="00FC5BB8" w:rsidP="00C70D41">
            <w:pPr>
              <w:pStyle w:val="ListParagraph"/>
              <w:keepLines/>
              <w:numPr>
                <w:ilvl w:val="0"/>
                <w:numId w:val="24"/>
              </w:numPr>
              <w:jc w:val="both"/>
              <w:rPr>
                <w:rFonts w:cs="Arial"/>
                <w:szCs w:val="24"/>
              </w:rPr>
            </w:pPr>
            <w:r>
              <w:rPr>
                <w:rFonts w:cs="Arial"/>
                <w:szCs w:val="24"/>
              </w:rPr>
              <w:t>Performance data on HE programmes was positive overall, although in-year retention was only 73%.</w:t>
            </w:r>
          </w:p>
          <w:p w:rsidR="008857EA" w:rsidRPr="008857EA" w:rsidRDefault="008857EA" w:rsidP="008857EA">
            <w:pPr>
              <w:keepLines/>
              <w:jc w:val="both"/>
              <w:rPr>
                <w:rFonts w:cs="Arial"/>
                <w:szCs w:val="24"/>
              </w:rPr>
            </w:pPr>
            <w:r>
              <w:rPr>
                <w:rFonts w:cs="Arial"/>
                <w:szCs w:val="24"/>
              </w:rPr>
              <w:t xml:space="preserve">The report was received. </w:t>
            </w:r>
          </w:p>
          <w:p w:rsidR="00AC59A4" w:rsidRDefault="00A600E3" w:rsidP="00617869">
            <w:pPr>
              <w:keepLines/>
              <w:rPr>
                <w:rFonts w:cs="Arial"/>
                <w:szCs w:val="24"/>
              </w:rPr>
            </w:pPr>
            <w:r>
              <w:rPr>
                <w:rFonts w:cs="Arial"/>
                <w:szCs w:val="24"/>
              </w:rPr>
              <w:br/>
              <w:t>The Committee examined outcomes measure</w:t>
            </w:r>
            <w:r w:rsidR="00FC5BB8">
              <w:rPr>
                <w:rFonts w:cs="Arial"/>
                <w:szCs w:val="24"/>
              </w:rPr>
              <w:t>d using value-added datasets. The ALPS (Advanced Level Performance System) assessment for NESCOT remained grade 4 which was ‘Very Good’ and in the 60</w:t>
            </w:r>
            <w:r w:rsidR="00FC5BB8" w:rsidRPr="00FC5BB8">
              <w:rPr>
                <w:rFonts w:cs="Arial"/>
                <w:szCs w:val="24"/>
                <w:vertAlign w:val="superscript"/>
              </w:rPr>
              <w:t>th</w:t>
            </w:r>
            <w:r w:rsidR="00FC5BB8">
              <w:rPr>
                <w:rFonts w:cs="Arial"/>
                <w:szCs w:val="24"/>
              </w:rPr>
              <w:t xml:space="preserve"> to 70</w:t>
            </w:r>
            <w:r w:rsidR="00FC5BB8" w:rsidRPr="00FC5BB8">
              <w:rPr>
                <w:rFonts w:cs="Arial"/>
                <w:szCs w:val="24"/>
                <w:vertAlign w:val="superscript"/>
              </w:rPr>
              <w:t>th</w:t>
            </w:r>
            <w:r w:rsidR="00FC5BB8">
              <w:rPr>
                <w:rFonts w:cs="Arial"/>
                <w:szCs w:val="24"/>
              </w:rPr>
              <w:t xml:space="preserve"> percentile. Value-added score were outstanding in Sport, Travel and Tourism and Music and good in Business, Media, Health and Social Care, Music Technology and Public Services. IT was weak using this measure. </w:t>
            </w:r>
          </w:p>
          <w:p w:rsidR="00F527B8" w:rsidRPr="008857EA" w:rsidRDefault="00F527B8" w:rsidP="00FC5BB8">
            <w:pPr>
              <w:keepLines/>
              <w:jc w:val="both"/>
              <w:rPr>
                <w:rFonts w:cs="Arial"/>
                <w:szCs w:val="24"/>
              </w:rPr>
            </w:pPr>
            <w:r>
              <w:rPr>
                <w:rFonts w:cs="Arial"/>
                <w:szCs w:val="24"/>
              </w:rPr>
              <w:t xml:space="preserve">The report was received. </w:t>
            </w:r>
          </w:p>
        </w:tc>
      </w:tr>
      <w:tr w:rsidR="00CF3CB3" w:rsidRPr="00F86600" w:rsidTr="006B1E88">
        <w:trPr>
          <w:gridAfter w:val="1"/>
          <w:wAfter w:w="10" w:type="pct"/>
        </w:trPr>
        <w:tc>
          <w:tcPr>
            <w:tcW w:w="1196" w:type="pct"/>
            <w:gridSpan w:val="2"/>
            <w:shd w:val="clear" w:color="auto" w:fill="BFBFBF" w:themeFill="background1" w:themeFillShade="BF"/>
          </w:tcPr>
          <w:p w:rsidR="00CF3CB3" w:rsidRPr="00CF3CB3" w:rsidRDefault="00D26420" w:rsidP="006D5B26">
            <w:pPr>
              <w:pStyle w:val="NoSpacing"/>
              <w:keepLines/>
              <w:jc w:val="both"/>
              <w:rPr>
                <w:rFonts w:cs="Arial"/>
                <w:b/>
                <w:szCs w:val="24"/>
              </w:rPr>
            </w:pPr>
            <w:r>
              <w:rPr>
                <w:rFonts w:cs="Arial"/>
                <w:b/>
                <w:szCs w:val="24"/>
              </w:rPr>
              <w:lastRenderedPageBreak/>
              <w:t>07.16</w:t>
            </w:r>
          </w:p>
        </w:tc>
        <w:tc>
          <w:tcPr>
            <w:tcW w:w="3794" w:type="pct"/>
            <w:gridSpan w:val="2"/>
            <w:shd w:val="clear" w:color="auto" w:fill="BFBFBF" w:themeFill="background1" w:themeFillShade="BF"/>
          </w:tcPr>
          <w:p w:rsidR="00CF3CB3" w:rsidRPr="00CF3CB3" w:rsidRDefault="001D5BE4" w:rsidP="006D5B26">
            <w:pPr>
              <w:keepLines/>
              <w:jc w:val="both"/>
              <w:rPr>
                <w:rFonts w:cs="Arial"/>
                <w:b/>
                <w:szCs w:val="24"/>
              </w:rPr>
            </w:pPr>
            <w:r>
              <w:rPr>
                <w:rFonts w:cs="Arial"/>
                <w:b/>
                <w:szCs w:val="24"/>
              </w:rPr>
              <w:t>HIGHER EDUCATION ASSURANCE STATEMENT</w:t>
            </w:r>
          </w:p>
        </w:tc>
      </w:tr>
      <w:tr w:rsidR="001A56A4" w:rsidRPr="00F86600" w:rsidTr="001A56A4">
        <w:trPr>
          <w:gridAfter w:val="1"/>
          <w:wAfter w:w="10" w:type="pct"/>
        </w:trPr>
        <w:tc>
          <w:tcPr>
            <w:tcW w:w="4990" w:type="pct"/>
            <w:gridSpan w:val="4"/>
            <w:tcBorders>
              <w:bottom w:val="single" w:sz="4" w:space="0" w:color="000000"/>
            </w:tcBorders>
          </w:tcPr>
          <w:p w:rsidR="00D52C46" w:rsidRDefault="00D52C46" w:rsidP="00D52C46">
            <w:pPr>
              <w:ind w:left="142"/>
              <w:rPr>
                <w:rFonts w:cs="Arial"/>
                <w:szCs w:val="24"/>
              </w:rPr>
            </w:pPr>
            <w:r>
              <w:rPr>
                <w:rFonts w:cs="Arial"/>
                <w:szCs w:val="24"/>
              </w:rPr>
              <w:t xml:space="preserve">The Committee was advised that The Higher Education Funding Council of England (HEFCE) had introduced a new requirement that providers of higher education issue a statement of assurance signed by the Accountable Officer on behalf of the Governing Body regarding:- </w:t>
            </w:r>
          </w:p>
          <w:p w:rsidR="00D52C46" w:rsidRPr="004146EF" w:rsidRDefault="00D52C46" w:rsidP="00D52C46">
            <w:pPr>
              <w:pStyle w:val="ListParagraph"/>
              <w:numPr>
                <w:ilvl w:val="0"/>
                <w:numId w:val="25"/>
              </w:numPr>
              <w:rPr>
                <w:rFonts w:cs="Arial"/>
                <w:szCs w:val="24"/>
              </w:rPr>
            </w:pPr>
            <w:r w:rsidRPr="004146EF">
              <w:rPr>
                <w:rFonts w:cs="Arial"/>
                <w:szCs w:val="24"/>
              </w:rPr>
              <w:lastRenderedPageBreak/>
              <w:t>the continuous improvement of the student academic experience and of student outcomes</w:t>
            </w:r>
            <w:r>
              <w:rPr>
                <w:rFonts w:cs="Arial"/>
                <w:szCs w:val="24"/>
              </w:rPr>
              <w:t>; and</w:t>
            </w:r>
          </w:p>
          <w:p w:rsidR="00D52C46" w:rsidRDefault="00D52C46" w:rsidP="00D52C46">
            <w:pPr>
              <w:pStyle w:val="ListParagraph"/>
              <w:numPr>
                <w:ilvl w:val="0"/>
                <w:numId w:val="25"/>
              </w:numPr>
              <w:rPr>
                <w:rFonts w:cs="Arial"/>
                <w:szCs w:val="24"/>
              </w:rPr>
            </w:pPr>
            <w:r w:rsidRPr="004146EF">
              <w:rPr>
                <w:rFonts w:cs="Arial"/>
                <w:szCs w:val="24"/>
              </w:rPr>
              <w:t xml:space="preserve">the </w:t>
            </w:r>
            <w:r>
              <w:rPr>
                <w:rFonts w:cs="Arial"/>
                <w:szCs w:val="24"/>
              </w:rPr>
              <w:t>reliability of degree standards.</w:t>
            </w:r>
          </w:p>
          <w:p w:rsidR="001A56A4" w:rsidRDefault="00D52C46" w:rsidP="00617869">
            <w:pPr>
              <w:keepLines/>
              <w:rPr>
                <w:rFonts w:cs="Arial"/>
                <w:szCs w:val="24"/>
              </w:rPr>
            </w:pPr>
            <w:r>
              <w:rPr>
                <w:rFonts w:cs="Arial"/>
                <w:szCs w:val="24"/>
              </w:rPr>
              <w:t>The assurance statement had to be returned for HEFCE by 01 December 2016. This was before the date of the scheduled Corporation meeting and therefore C&amp;Q Committee was requested to review the assurance requirement and the evidence from the College and to make a recommendation to the Governing Body for dete</w:t>
            </w:r>
            <w:r w:rsidR="00DD1B7A">
              <w:rPr>
                <w:rFonts w:cs="Arial"/>
                <w:szCs w:val="24"/>
              </w:rPr>
              <w:t>rmination by written resolution</w:t>
            </w:r>
            <w:r>
              <w:rPr>
                <w:rFonts w:cs="Arial"/>
                <w:szCs w:val="24"/>
              </w:rPr>
              <w:t xml:space="preserve">. </w:t>
            </w:r>
          </w:p>
          <w:p w:rsidR="00D52C46" w:rsidRPr="00D52C46" w:rsidRDefault="00D52C46" w:rsidP="00D52C46">
            <w:pPr>
              <w:rPr>
                <w:rFonts w:eastAsiaTheme="minorEastAsia" w:cs="Arial"/>
                <w:szCs w:val="24"/>
                <w:lang w:eastAsia="en-GB"/>
              </w:rPr>
            </w:pPr>
            <w:r w:rsidRPr="00D52C46">
              <w:rPr>
                <w:rFonts w:eastAsiaTheme="minorEastAsia" w:cs="Arial"/>
                <w:szCs w:val="24"/>
                <w:lang w:eastAsia="en-GB"/>
              </w:rPr>
              <w:t>HEFCE requ</w:t>
            </w:r>
            <w:r w:rsidR="001D5BE4">
              <w:rPr>
                <w:rFonts w:eastAsiaTheme="minorEastAsia" w:cs="Arial"/>
                <w:szCs w:val="24"/>
                <w:lang w:eastAsia="en-GB"/>
              </w:rPr>
              <w:t xml:space="preserve">ire the following statement from </w:t>
            </w:r>
            <w:r w:rsidRPr="00D52C46">
              <w:rPr>
                <w:rFonts w:eastAsiaTheme="minorEastAsia" w:cs="Arial"/>
                <w:szCs w:val="24"/>
                <w:lang w:eastAsia="en-GB"/>
              </w:rPr>
              <w:t xml:space="preserve">FE colleges providing higher education to be confirmed either </w:t>
            </w:r>
            <w:r w:rsidRPr="00D52C46">
              <w:rPr>
                <w:rFonts w:eastAsiaTheme="minorEastAsia" w:cs="Arial"/>
                <w:b/>
                <w:szCs w:val="24"/>
                <w:lang w:eastAsia="en-GB"/>
              </w:rPr>
              <w:t>fully</w:t>
            </w:r>
            <w:r w:rsidRPr="00D52C46">
              <w:rPr>
                <w:rFonts w:eastAsiaTheme="minorEastAsia" w:cs="Arial"/>
                <w:szCs w:val="24"/>
                <w:lang w:eastAsia="en-GB"/>
              </w:rPr>
              <w:t xml:space="preserve"> or, as this is a new and belatedly notified requirement, </w:t>
            </w:r>
            <w:r w:rsidRPr="00D52C46">
              <w:rPr>
                <w:rFonts w:eastAsiaTheme="minorEastAsia" w:cs="Arial"/>
                <w:b/>
                <w:szCs w:val="24"/>
                <w:lang w:eastAsia="en-GB"/>
              </w:rPr>
              <w:t>partially</w:t>
            </w:r>
            <w:r w:rsidRPr="00D52C46">
              <w:rPr>
                <w:rFonts w:eastAsiaTheme="minorEastAsia" w:cs="Arial"/>
                <w:szCs w:val="24"/>
                <w:lang w:eastAsia="en-GB"/>
              </w:rPr>
              <w:t xml:space="preserve"> for the previous academic year, 2015/16: </w:t>
            </w:r>
          </w:p>
          <w:p w:rsidR="00D52C46" w:rsidRPr="00D52C46" w:rsidRDefault="00D52C46" w:rsidP="00D52C46">
            <w:pPr>
              <w:numPr>
                <w:ilvl w:val="0"/>
                <w:numId w:val="26"/>
              </w:numPr>
              <w:autoSpaceDE w:val="0"/>
              <w:autoSpaceDN w:val="0"/>
              <w:adjustRightInd w:val="0"/>
              <w:spacing w:after="0"/>
              <w:rPr>
                <w:rFonts w:eastAsiaTheme="minorEastAsia" w:cs="Arial"/>
                <w:i/>
                <w:color w:val="000000"/>
                <w:szCs w:val="24"/>
                <w:lang w:eastAsia="en-GB"/>
              </w:rPr>
            </w:pPr>
            <w:r w:rsidRPr="00D52C46">
              <w:rPr>
                <w:rFonts w:eastAsiaTheme="minorEastAsia" w:cs="Arial"/>
                <w:i/>
                <w:color w:val="000000"/>
                <w:szCs w:val="24"/>
                <w:lang w:eastAsia="en-GB"/>
              </w:rPr>
              <w:t xml:space="preserve">The governing body has received and discussed a report and accompanying action plan relating to the continuous improvement of the student academic experience and student outcomes. This included evidence from the provider’s own periodic review processes, which fully involve students and include embedded external peer or professional review. </w:t>
            </w: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p>
          <w:p w:rsidR="00D52C46" w:rsidRPr="00D52C46" w:rsidRDefault="00D52C46" w:rsidP="00D52C46">
            <w:pPr>
              <w:numPr>
                <w:ilvl w:val="0"/>
                <w:numId w:val="26"/>
              </w:numPr>
              <w:autoSpaceDE w:val="0"/>
              <w:autoSpaceDN w:val="0"/>
              <w:adjustRightInd w:val="0"/>
              <w:spacing w:after="0"/>
              <w:rPr>
                <w:rFonts w:eastAsiaTheme="minorEastAsia" w:cs="Arial"/>
                <w:i/>
                <w:color w:val="000000"/>
                <w:szCs w:val="24"/>
                <w:lang w:eastAsia="en-GB"/>
              </w:rPr>
            </w:pPr>
            <w:r w:rsidRPr="00D52C46">
              <w:rPr>
                <w:rFonts w:eastAsiaTheme="minorEastAsia" w:cs="Arial"/>
                <w:i/>
                <w:color w:val="000000"/>
                <w:szCs w:val="24"/>
                <w:lang w:eastAsia="en-GB"/>
              </w:rPr>
              <w:t xml:space="preserve">The methodologies used as a basis to improve the student academic experience and student outcomes are, to the best of our knowledge, robust and appropriate. </w:t>
            </w: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r w:rsidRPr="00D52C46">
              <w:rPr>
                <w:rFonts w:eastAsiaTheme="minorEastAsia" w:cs="Arial"/>
                <w:i/>
                <w:color w:val="000000"/>
                <w:szCs w:val="24"/>
                <w:lang w:eastAsia="en-GB"/>
              </w:rPr>
              <w:t xml:space="preserve">For providers with degree awarding powers: </w:t>
            </w: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p>
          <w:p w:rsidR="00D52C46" w:rsidRPr="00D52C46" w:rsidRDefault="00D52C46" w:rsidP="00D52C46">
            <w:pPr>
              <w:numPr>
                <w:ilvl w:val="0"/>
                <w:numId w:val="27"/>
              </w:numPr>
              <w:autoSpaceDE w:val="0"/>
              <w:autoSpaceDN w:val="0"/>
              <w:adjustRightInd w:val="0"/>
              <w:spacing w:after="0"/>
              <w:rPr>
                <w:rFonts w:eastAsiaTheme="minorEastAsia" w:cs="Arial"/>
                <w:i/>
                <w:color w:val="000000"/>
                <w:szCs w:val="24"/>
                <w:lang w:eastAsia="en-GB"/>
              </w:rPr>
            </w:pPr>
            <w:r w:rsidRPr="00D52C46">
              <w:rPr>
                <w:rFonts w:eastAsiaTheme="minorEastAsia" w:cs="Arial"/>
                <w:i/>
                <w:color w:val="000000"/>
                <w:szCs w:val="24"/>
                <w:lang w:eastAsia="en-GB"/>
              </w:rPr>
              <w:t xml:space="preserve">The standards of awards for which we are responsible have been appropriately set and maintained. </w:t>
            </w: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r w:rsidRPr="00D52C46">
              <w:rPr>
                <w:rFonts w:eastAsiaTheme="minorEastAsia" w:cs="Arial"/>
                <w:i/>
                <w:color w:val="000000"/>
                <w:szCs w:val="24"/>
                <w:lang w:eastAsia="en-GB"/>
              </w:rPr>
              <w:t xml:space="preserve">For providers without degree awarding powers: </w:t>
            </w:r>
          </w:p>
          <w:p w:rsidR="00D52C46" w:rsidRPr="00D52C46" w:rsidRDefault="00D52C46" w:rsidP="00D52C46">
            <w:pPr>
              <w:autoSpaceDE w:val="0"/>
              <w:autoSpaceDN w:val="0"/>
              <w:adjustRightInd w:val="0"/>
              <w:spacing w:after="0"/>
              <w:ind w:left="720"/>
              <w:rPr>
                <w:rFonts w:eastAsiaTheme="minorEastAsia" w:cs="Arial"/>
                <w:i/>
                <w:color w:val="000000"/>
                <w:szCs w:val="24"/>
                <w:lang w:eastAsia="en-GB"/>
              </w:rPr>
            </w:pPr>
          </w:p>
          <w:p w:rsidR="00D52C46" w:rsidRDefault="00D52C46" w:rsidP="00D52C46">
            <w:pPr>
              <w:numPr>
                <w:ilvl w:val="0"/>
                <w:numId w:val="27"/>
              </w:numPr>
              <w:autoSpaceDE w:val="0"/>
              <w:autoSpaceDN w:val="0"/>
              <w:adjustRightInd w:val="0"/>
              <w:spacing w:after="0"/>
              <w:rPr>
                <w:rFonts w:eastAsiaTheme="minorEastAsia" w:cs="Arial"/>
                <w:i/>
                <w:color w:val="000000"/>
                <w:szCs w:val="24"/>
                <w:lang w:eastAsia="en-GB"/>
              </w:rPr>
            </w:pPr>
            <w:r w:rsidRPr="00D52C46">
              <w:rPr>
                <w:rFonts w:eastAsiaTheme="minorEastAsia" w:cs="Arial"/>
                <w:i/>
                <w:color w:val="000000"/>
                <w:szCs w:val="24"/>
                <w:lang w:eastAsia="en-GB"/>
              </w:rPr>
              <w:t xml:space="preserve">The standards of awards for which we are responsible have been appropriately maintained. </w:t>
            </w:r>
          </w:p>
          <w:p w:rsidR="00D52C46" w:rsidRDefault="00D52C46" w:rsidP="00617869">
            <w:pPr>
              <w:autoSpaceDE w:val="0"/>
              <w:autoSpaceDN w:val="0"/>
              <w:adjustRightInd w:val="0"/>
              <w:spacing w:after="0"/>
              <w:rPr>
                <w:rFonts w:eastAsiaTheme="minorEastAsia" w:cs="Arial"/>
                <w:color w:val="000000"/>
                <w:szCs w:val="24"/>
                <w:lang w:eastAsia="en-GB"/>
              </w:rPr>
            </w:pPr>
          </w:p>
          <w:p w:rsidR="00D52C46" w:rsidRDefault="00D52C46" w:rsidP="00617869">
            <w:pPr>
              <w:autoSpaceDE w:val="0"/>
              <w:autoSpaceDN w:val="0"/>
              <w:adjustRightInd w:val="0"/>
              <w:spacing w:after="0"/>
              <w:rPr>
                <w:rFonts w:eastAsiaTheme="minorEastAsia" w:cs="Arial"/>
                <w:color w:val="000000"/>
                <w:szCs w:val="24"/>
                <w:lang w:eastAsia="en-GB"/>
              </w:rPr>
            </w:pPr>
            <w:r>
              <w:rPr>
                <w:rFonts w:eastAsiaTheme="minorEastAsia" w:cs="Arial"/>
                <w:color w:val="000000"/>
                <w:szCs w:val="24"/>
                <w:lang w:eastAsia="en-GB"/>
              </w:rPr>
              <w:t xml:space="preserve">A detailed and comprehensive report was presented to the Committee which included information about the quality assurance framework for higher education programmes at NESCOT, the Committee </w:t>
            </w:r>
            <w:r w:rsidR="00DD1B7A">
              <w:rPr>
                <w:rFonts w:eastAsiaTheme="minorEastAsia" w:cs="Arial"/>
                <w:color w:val="000000"/>
                <w:szCs w:val="24"/>
                <w:lang w:eastAsia="en-GB"/>
              </w:rPr>
              <w:t xml:space="preserve">and quality process </w:t>
            </w:r>
            <w:r>
              <w:rPr>
                <w:rFonts w:eastAsiaTheme="minorEastAsia" w:cs="Arial"/>
                <w:color w:val="000000"/>
                <w:szCs w:val="24"/>
                <w:lang w:eastAsia="en-GB"/>
              </w:rPr>
              <w:t>reporting structure, the relationship with its HEI partners (University of Surrey, University of Greenwich and Kingston University) and Pearson (for HNC/D programmes). Details of how the student experience of higher education at NESCOT is captu</w:t>
            </w:r>
            <w:r w:rsidR="001D5BE4">
              <w:rPr>
                <w:rFonts w:eastAsiaTheme="minorEastAsia" w:cs="Arial"/>
                <w:color w:val="000000"/>
                <w:szCs w:val="24"/>
                <w:lang w:eastAsia="en-GB"/>
              </w:rPr>
              <w:t xml:space="preserve">red and acted </w:t>
            </w:r>
            <w:r w:rsidR="001D5BE4">
              <w:rPr>
                <w:rFonts w:eastAsiaTheme="minorEastAsia" w:cs="Arial"/>
                <w:color w:val="000000"/>
                <w:szCs w:val="24"/>
                <w:lang w:eastAsia="en-GB"/>
              </w:rPr>
              <w:lastRenderedPageBreak/>
              <w:t xml:space="preserve">upon were set out. Outcomes data from the National Student Survey (NSS), Destination of Leavers from Higher Education (DLHE) and internal student satisfaction surveys was presented. It was noted that in a recent visit from HEFCE, NESCOT current performance profile for higher education provision would result in a ‘Silver’ assessment hypothesis under the new Teaching Excellence Framework (TEF) which was considered to be very good. </w:t>
            </w:r>
          </w:p>
          <w:p w:rsidR="001D5BE4" w:rsidRDefault="001D5BE4" w:rsidP="001D5BE4">
            <w:pPr>
              <w:rPr>
                <w:rFonts w:eastAsiaTheme="minorEastAsia" w:cs="Arial"/>
                <w:color w:val="000000"/>
                <w:szCs w:val="24"/>
                <w:lang w:eastAsia="en-GB"/>
              </w:rPr>
            </w:pPr>
          </w:p>
          <w:p w:rsidR="001D5BE4" w:rsidRDefault="001D5BE4" w:rsidP="001D5BE4">
            <w:pPr>
              <w:rPr>
                <w:rFonts w:cs="Arial"/>
                <w:szCs w:val="24"/>
              </w:rPr>
            </w:pPr>
            <w:r>
              <w:rPr>
                <w:rFonts w:cs="Arial"/>
                <w:szCs w:val="24"/>
              </w:rPr>
              <w:t xml:space="preserve">This Committee agreed that the evidence presented showed that: - </w:t>
            </w:r>
          </w:p>
          <w:p w:rsidR="001D5BE4" w:rsidRDefault="001D5BE4" w:rsidP="001D5BE4">
            <w:pPr>
              <w:pStyle w:val="ListParagraph"/>
              <w:numPr>
                <w:ilvl w:val="0"/>
                <w:numId w:val="28"/>
              </w:numPr>
              <w:rPr>
                <w:rFonts w:cs="Arial"/>
                <w:szCs w:val="24"/>
              </w:rPr>
            </w:pPr>
            <w:r>
              <w:rPr>
                <w:rFonts w:cs="Arial"/>
                <w:szCs w:val="24"/>
              </w:rPr>
              <w:t xml:space="preserve">NESCOT’s HE provision is regarded highly by students, is above national benchmark and has improved compared to the previous year, 2014/15. </w:t>
            </w:r>
          </w:p>
          <w:p w:rsidR="001D5BE4" w:rsidRDefault="001D5BE4" w:rsidP="001D5BE4">
            <w:pPr>
              <w:pStyle w:val="ListParagraph"/>
              <w:numPr>
                <w:ilvl w:val="0"/>
                <w:numId w:val="28"/>
              </w:numPr>
              <w:rPr>
                <w:rFonts w:cs="Arial"/>
                <w:szCs w:val="24"/>
              </w:rPr>
            </w:pPr>
            <w:r>
              <w:rPr>
                <w:rFonts w:cs="Arial"/>
                <w:szCs w:val="24"/>
              </w:rPr>
              <w:t>The student experience is at the heart of the quality assurance and improvement process</w:t>
            </w:r>
          </w:p>
          <w:p w:rsidR="001D5BE4" w:rsidRDefault="001D5BE4" w:rsidP="001D5BE4">
            <w:pPr>
              <w:pStyle w:val="ListParagraph"/>
              <w:numPr>
                <w:ilvl w:val="0"/>
                <w:numId w:val="28"/>
              </w:numPr>
              <w:rPr>
                <w:rFonts w:cs="Arial"/>
                <w:szCs w:val="24"/>
              </w:rPr>
            </w:pPr>
            <w:r>
              <w:rPr>
                <w:rFonts w:cs="Arial"/>
                <w:szCs w:val="24"/>
              </w:rPr>
              <w:t>There is a robust and embedded framework for assuring the quality of the HE offer at NESCOT, supported by the academic and regulatory frameworks provided by our partner HEIs.</w:t>
            </w:r>
          </w:p>
          <w:p w:rsidR="001D5BE4" w:rsidRDefault="001D5BE4" w:rsidP="001D5BE4">
            <w:pPr>
              <w:pStyle w:val="ListParagraph"/>
              <w:numPr>
                <w:ilvl w:val="0"/>
                <w:numId w:val="28"/>
              </w:numPr>
              <w:rPr>
                <w:rFonts w:cs="Arial"/>
                <w:szCs w:val="24"/>
              </w:rPr>
            </w:pPr>
            <w:r>
              <w:rPr>
                <w:rFonts w:cs="Arial"/>
                <w:szCs w:val="24"/>
              </w:rPr>
              <w:t xml:space="preserve">Whilst improving the response rate of students to the DLHE survey is a priority for this year, it is pleasing that only 3% of NESCOT’s graduates/completers are unemployed 6 months after finishing their studies. 71% of students are in graduate-level roles or are pursuing further study and the starting salary of students is close to the average national salary level at £24,800. </w:t>
            </w:r>
          </w:p>
          <w:p w:rsidR="001D5BE4" w:rsidRDefault="001D5BE4" w:rsidP="001D5BE4">
            <w:pPr>
              <w:pStyle w:val="ListParagraph"/>
              <w:numPr>
                <w:ilvl w:val="0"/>
                <w:numId w:val="28"/>
              </w:numPr>
              <w:rPr>
                <w:rFonts w:cs="Arial"/>
                <w:szCs w:val="24"/>
              </w:rPr>
            </w:pPr>
            <w:r>
              <w:rPr>
                <w:rFonts w:cs="Arial"/>
                <w:szCs w:val="24"/>
              </w:rPr>
              <w:t xml:space="preserve">A robust action plan is in place to address priority areas for course enhancement, student recruitment and improving data collection rates. </w:t>
            </w:r>
          </w:p>
          <w:p w:rsidR="00D52C46" w:rsidRPr="00244DCA" w:rsidRDefault="001D5BE4" w:rsidP="00B63E56">
            <w:pPr>
              <w:autoSpaceDE w:val="0"/>
              <w:autoSpaceDN w:val="0"/>
              <w:adjustRightInd w:val="0"/>
              <w:spacing w:after="0"/>
              <w:rPr>
                <w:rFonts w:cs="Arial"/>
                <w:szCs w:val="24"/>
              </w:rPr>
            </w:pPr>
            <w:r w:rsidRPr="001D5BE4">
              <w:rPr>
                <w:rFonts w:eastAsiaTheme="minorEastAsia" w:cs="Arial"/>
                <w:b/>
                <w:color w:val="000000"/>
                <w:szCs w:val="24"/>
                <w:lang w:eastAsia="en-GB"/>
              </w:rPr>
              <w:t>RESOLVED:</w:t>
            </w:r>
            <w:r>
              <w:rPr>
                <w:rFonts w:eastAsiaTheme="minorEastAsia" w:cs="Arial"/>
                <w:color w:val="000000"/>
                <w:szCs w:val="24"/>
                <w:lang w:eastAsia="en-GB"/>
              </w:rPr>
              <w:t xml:space="preserve"> that a </w:t>
            </w:r>
            <w:r>
              <w:rPr>
                <w:rFonts w:cs="Arial"/>
                <w:szCs w:val="24"/>
              </w:rPr>
              <w:t>recommendation to the Governing Board</w:t>
            </w:r>
            <w:r w:rsidR="00B63E56">
              <w:rPr>
                <w:rFonts w:cs="Arial"/>
                <w:szCs w:val="24"/>
              </w:rPr>
              <w:t xml:space="preserve"> </w:t>
            </w:r>
            <w:r>
              <w:rPr>
                <w:rFonts w:cs="Arial"/>
                <w:szCs w:val="24"/>
              </w:rPr>
              <w:t xml:space="preserve">to be approved by written </w:t>
            </w:r>
            <w:r w:rsidR="00B63E56">
              <w:rPr>
                <w:rFonts w:cs="Arial"/>
                <w:szCs w:val="24"/>
              </w:rPr>
              <w:t xml:space="preserve">resolution </w:t>
            </w:r>
            <w:r>
              <w:rPr>
                <w:rFonts w:cs="Arial"/>
                <w:szCs w:val="24"/>
              </w:rPr>
              <w:t>be made that a statement of full assurance be provided to HEFCE for the academic year 2015/16.</w:t>
            </w:r>
            <w:r w:rsidR="00B63E56">
              <w:rPr>
                <w:rFonts w:cs="Arial"/>
                <w:szCs w:val="24"/>
              </w:rPr>
              <w:br/>
            </w:r>
          </w:p>
        </w:tc>
      </w:tr>
      <w:tr w:rsidR="00E62063" w:rsidRPr="00F86600" w:rsidTr="006B1E88">
        <w:trPr>
          <w:gridAfter w:val="1"/>
          <w:wAfter w:w="10" w:type="pct"/>
        </w:trPr>
        <w:tc>
          <w:tcPr>
            <w:tcW w:w="1196" w:type="pct"/>
            <w:gridSpan w:val="2"/>
            <w:shd w:val="clear" w:color="auto" w:fill="D9D9D9" w:themeFill="background1" w:themeFillShade="D9"/>
          </w:tcPr>
          <w:p w:rsidR="00E62063" w:rsidRDefault="00B63E56" w:rsidP="002A10E8">
            <w:pPr>
              <w:pStyle w:val="NoSpacing"/>
              <w:keepLines/>
              <w:jc w:val="both"/>
              <w:rPr>
                <w:rFonts w:cs="Arial"/>
                <w:b/>
                <w:szCs w:val="24"/>
              </w:rPr>
            </w:pPr>
            <w:r>
              <w:rPr>
                <w:rFonts w:cs="Arial"/>
                <w:b/>
                <w:szCs w:val="24"/>
              </w:rPr>
              <w:lastRenderedPageBreak/>
              <w:t>08.16</w:t>
            </w:r>
          </w:p>
          <w:p w:rsidR="00E62063" w:rsidRDefault="00E62063" w:rsidP="002A10E8">
            <w:pPr>
              <w:pStyle w:val="NoSpacing"/>
              <w:keepLines/>
              <w:jc w:val="both"/>
              <w:rPr>
                <w:rFonts w:cs="Arial"/>
                <w:b/>
                <w:szCs w:val="24"/>
              </w:rPr>
            </w:pPr>
          </w:p>
        </w:tc>
        <w:tc>
          <w:tcPr>
            <w:tcW w:w="3794" w:type="pct"/>
            <w:gridSpan w:val="2"/>
            <w:shd w:val="clear" w:color="auto" w:fill="D9D9D9" w:themeFill="background1" w:themeFillShade="D9"/>
          </w:tcPr>
          <w:p w:rsidR="00E62063" w:rsidRPr="00CF3CB3" w:rsidRDefault="00B63E56" w:rsidP="009E4B49">
            <w:pPr>
              <w:keepLines/>
              <w:jc w:val="both"/>
              <w:rPr>
                <w:rFonts w:cs="Arial"/>
                <w:b/>
                <w:szCs w:val="24"/>
              </w:rPr>
            </w:pPr>
            <w:r>
              <w:rPr>
                <w:rFonts w:cs="Arial"/>
                <w:b/>
                <w:szCs w:val="24"/>
              </w:rPr>
              <w:t>NOTIFICATION OF SUB-CONTRACTORS</w:t>
            </w:r>
          </w:p>
        </w:tc>
      </w:tr>
      <w:tr w:rsidR="00B63E56" w:rsidRPr="00F86600" w:rsidTr="00B63E56">
        <w:trPr>
          <w:gridAfter w:val="1"/>
          <w:wAfter w:w="10" w:type="pct"/>
        </w:trPr>
        <w:tc>
          <w:tcPr>
            <w:tcW w:w="4990" w:type="pct"/>
            <w:gridSpan w:val="4"/>
            <w:tcBorders>
              <w:bottom w:val="single" w:sz="4" w:space="0" w:color="000000"/>
            </w:tcBorders>
          </w:tcPr>
          <w:p w:rsidR="00B63E56" w:rsidRPr="003F74FB" w:rsidRDefault="008150ED" w:rsidP="00DB0D8D">
            <w:pPr>
              <w:keepLines/>
              <w:rPr>
                <w:rFonts w:cs="Arial"/>
                <w:szCs w:val="24"/>
              </w:rPr>
            </w:pPr>
            <w:r>
              <w:rPr>
                <w:rFonts w:cs="Arial"/>
                <w:szCs w:val="24"/>
              </w:rPr>
              <w:t>It was noted that no new sub-cont</w:t>
            </w:r>
            <w:r w:rsidR="00617869">
              <w:rPr>
                <w:rFonts w:cs="Arial"/>
                <w:szCs w:val="24"/>
              </w:rPr>
              <w:t>r</w:t>
            </w:r>
            <w:r>
              <w:rPr>
                <w:rFonts w:cs="Arial"/>
                <w:szCs w:val="24"/>
              </w:rPr>
              <w:t xml:space="preserve">actors had been appointed for 2016/17. </w:t>
            </w:r>
          </w:p>
        </w:tc>
      </w:tr>
      <w:tr w:rsidR="00690E92" w:rsidRPr="00F86600" w:rsidTr="006B1E88">
        <w:trPr>
          <w:gridAfter w:val="1"/>
          <w:wAfter w:w="10" w:type="pct"/>
        </w:trPr>
        <w:tc>
          <w:tcPr>
            <w:tcW w:w="1196" w:type="pct"/>
            <w:gridSpan w:val="2"/>
            <w:tcBorders>
              <w:bottom w:val="single" w:sz="4" w:space="0" w:color="000000"/>
            </w:tcBorders>
            <w:shd w:val="clear" w:color="auto" w:fill="D9D9D9" w:themeFill="background1" w:themeFillShade="D9"/>
          </w:tcPr>
          <w:p w:rsidR="00690E92" w:rsidRPr="00690E92" w:rsidRDefault="00617869" w:rsidP="009E4B49">
            <w:pPr>
              <w:keepLines/>
              <w:jc w:val="both"/>
              <w:rPr>
                <w:rFonts w:cs="Arial"/>
                <w:b/>
                <w:bCs/>
                <w:szCs w:val="24"/>
              </w:rPr>
            </w:pPr>
            <w:r>
              <w:rPr>
                <w:rFonts w:cs="Arial"/>
                <w:b/>
                <w:bCs/>
                <w:szCs w:val="24"/>
              </w:rPr>
              <w:t>09.16</w:t>
            </w:r>
          </w:p>
        </w:tc>
        <w:tc>
          <w:tcPr>
            <w:tcW w:w="3794" w:type="pct"/>
            <w:gridSpan w:val="2"/>
            <w:tcBorders>
              <w:bottom w:val="single" w:sz="4" w:space="0" w:color="000000"/>
            </w:tcBorders>
            <w:shd w:val="clear" w:color="auto" w:fill="D9D9D9" w:themeFill="background1" w:themeFillShade="D9"/>
          </w:tcPr>
          <w:p w:rsidR="00690E92" w:rsidRPr="00690E92" w:rsidRDefault="00617869" w:rsidP="00B80A9A">
            <w:pPr>
              <w:keepLines/>
              <w:rPr>
                <w:rFonts w:cs="Arial"/>
                <w:b/>
                <w:bCs/>
                <w:szCs w:val="24"/>
              </w:rPr>
            </w:pPr>
            <w:r>
              <w:rPr>
                <w:rFonts w:cs="Arial"/>
                <w:b/>
                <w:bCs/>
                <w:szCs w:val="24"/>
              </w:rPr>
              <w:t>COMMITTEE SELF-ASSESSMENT REPORT</w:t>
            </w:r>
          </w:p>
        </w:tc>
      </w:tr>
      <w:tr w:rsidR="00617869" w:rsidRPr="00F86600" w:rsidTr="00617869">
        <w:trPr>
          <w:gridAfter w:val="1"/>
          <w:wAfter w:w="10" w:type="pct"/>
        </w:trPr>
        <w:tc>
          <w:tcPr>
            <w:tcW w:w="4990" w:type="pct"/>
            <w:gridSpan w:val="4"/>
            <w:tcBorders>
              <w:bottom w:val="single" w:sz="4" w:space="0" w:color="000000"/>
            </w:tcBorders>
            <w:shd w:val="clear" w:color="auto" w:fill="FFFFFF" w:themeFill="background1"/>
          </w:tcPr>
          <w:p w:rsidR="00617869" w:rsidRDefault="00617869" w:rsidP="00617869">
            <w:pPr>
              <w:keepLines/>
              <w:rPr>
                <w:rFonts w:cs="Arial"/>
                <w:bCs/>
                <w:szCs w:val="24"/>
              </w:rPr>
            </w:pPr>
            <w:r>
              <w:rPr>
                <w:rFonts w:cs="Arial"/>
                <w:bCs/>
                <w:szCs w:val="24"/>
              </w:rPr>
              <w:t xml:space="preserve">The Committee considered its self-assessment report for 2015/16 and reviewed how it met its terms of reference. Areas of strength and areas for improvement were identified. The following were </w:t>
            </w:r>
            <w:r w:rsidRPr="00DD1B7A">
              <w:rPr>
                <w:rFonts w:cs="Arial"/>
                <w:b/>
                <w:bCs/>
                <w:szCs w:val="24"/>
              </w:rPr>
              <w:t>AGREED</w:t>
            </w:r>
            <w:r>
              <w:rPr>
                <w:rFonts w:cs="Arial"/>
                <w:bCs/>
                <w:szCs w:val="24"/>
              </w:rPr>
              <w:t xml:space="preserve"> as areas for development in the current year: -</w:t>
            </w:r>
          </w:p>
          <w:p w:rsidR="00617869" w:rsidRDefault="00617869" w:rsidP="00617869">
            <w:pPr>
              <w:keepLines/>
              <w:numPr>
                <w:ilvl w:val="0"/>
                <w:numId w:val="29"/>
              </w:numPr>
              <w:spacing w:line="240" w:lineRule="auto"/>
              <w:rPr>
                <w:rFonts w:cs="Arial"/>
                <w:bCs/>
                <w:szCs w:val="24"/>
              </w:rPr>
            </w:pPr>
            <w:r w:rsidRPr="00617869">
              <w:rPr>
                <w:rFonts w:cs="Arial"/>
                <w:bCs/>
                <w:szCs w:val="24"/>
              </w:rPr>
              <w:t>Supporting the College to improve English and Maths GCSE outcomes</w:t>
            </w:r>
          </w:p>
          <w:p w:rsidR="00617869" w:rsidRPr="00617869" w:rsidRDefault="00617869" w:rsidP="00617869">
            <w:pPr>
              <w:keepLines/>
              <w:numPr>
                <w:ilvl w:val="0"/>
                <w:numId w:val="29"/>
              </w:numPr>
              <w:spacing w:line="240" w:lineRule="auto"/>
              <w:rPr>
                <w:rFonts w:cs="Arial"/>
                <w:bCs/>
                <w:szCs w:val="24"/>
              </w:rPr>
            </w:pPr>
            <w:r w:rsidRPr="00617869">
              <w:rPr>
                <w:rFonts w:cs="Arial"/>
                <w:bCs/>
                <w:szCs w:val="24"/>
              </w:rPr>
              <w:lastRenderedPageBreak/>
              <w:t xml:space="preserve">Higher Education </w:t>
            </w:r>
          </w:p>
          <w:p w:rsidR="00617869" w:rsidRPr="00617869" w:rsidRDefault="00617869" w:rsidP="00617869">
            <w:pPr>
              <w:pStyle w:val="ListParagraph"/>
              <w:keepLines/>
              <w:numPr>
                <w:ilvl w:val="0"/>
                <w:numId w:val="29"/>
              </w:numPr>
              <w:spacing w:line="240" w:lineRule="auto"/>
              <w:rPr>
                <w:rFonts w:cs="Arial"/>
                <w:bCs/>
                <w:szCs w:val="24"/>
              </w:rPr>
            </w:pPr>
            <w:r w:rsidRPr="00617869">
              <w:rPr>
                <w:rFonts w:cs="Arial"/>
                <w:bCs/>
                <w:szCs w:val="24"/>
              </w:rPr>
              <w:t>To ensure that high professional standards and skills for working life and active citizenship become strengths in all curriculum areas.</w:t>
            </w:r>
          </w:p>
          <w:p w:rsidR="00617869" w:rsidRPr="00617869" w:rsidRDefault="00617869" w:rsidP="00617869">
            <w:pPr>
              <w:keepLines/>
              <w:rPr>
                <w:rFonts w:cs="Arial"/>
                <w:bCs/>
                <w:szCs w:val="24"/>
              </w:rPr>
            </w:pPr>
            <w:r w:rsidRPr="00617869">
              <w:rPr>
                <w:rFonts w:cs="Arial"/>
                <w:b/>
                <w:bCs/>
                <w:szCs w:val="24"/>
              </w:rPr>
              <w:t>RESOLVED:</w:t>
            </w:r>
            <w:r>
              <w:rPr>
                <w:rFonts w:cs="Arial"/>
                <w:bCs/>
                <w:szCs w:val="24"/>
              </w:rPr>
              <w:t xml:space="preserve"> that the Self-Assessment Report for the Curriculum and Quality Committee be approved. </w:t>
            </w:r>
          </w:p>
        </w:tc>
      </w:tr>
      <w:tr w:rsidR="00D572DB" w:rsidRPr="002C0F85" w:rsidTr="006B1E88">
        <w:trPr>
          <w:gridAfter w:val="1"/>
          <w:wAfter w:w="10" w:type="pct"/>
        </w:trPr>
        <w:tc>
          <w:tcPr>
            <w:tcW w:w="1196" w:type="pct"/>
            <w:gridSpan w:val="2"/>
            <w:shd w:val="clear" w:color="auto" w:fill="BFBFBF" w:themeFill="background1" w:themeFillShade="BF"/>
          </w:tcPr>
          <w:p w:rsidR="00D572DB" w:rsidRPr="00D572DB" w:rsidRDefault="00617869" w:rsidP="0099494C">
            <w:pPr>
              <w:keepLines/>
              <w:jc w:val="both"/>
              <w:rPr>
                <w:rFonts w:cs="Arial"/>
                <w:b/>
                <w:szCs w:val="24"/>
              </w:rPr>
            </w:pPr>
            <w:r>
              <w:rPr>
                <w:rFonts w:cs="Arial"/>
                <w:b/>
                <w:szCs w:val="24"/>
              </w:rPr>
              <w:lastRenderedPageBreak/>
              <w:t>10.16</w:t>
            </w:r>
          </w:p>
        </w:tc>
        <w:tc>
          <w:tcPr>
            <w:tcW w:w="3794" w:type="pct"/>
            <w:gridSpan w:val="2"/>
            <w:shd w:val="clear" w:color="auto" w:fill="BFBFBF" w:themeFill="background1" w:themeFillShade="BF"/>
          </w:tcPr>
          <w:p w:rsidR="00D572DB" w:rsidRPr="00D572DB" w:rsidRDefault="00D572DB" w:rsidP="0099494C">
            <w:pPr>
              <w:keepLines/>
              <w:jc w:val="both"/>
              <w:rPr>
                <w:rFonts w:cs="Arial"/>
                <w:b/>
                <w:szCs w:val="24"/>
              </w:rPr>
            </w:pPr>
            <w:r w:rsidRPr="00D572DB">
              <w:rPr>
                <w:rFonts w:cs="Arial"/>
                <w:b/>
                <w:szCs w:val="24"/>
              </w:rPr>
              <w:t>ANY OTHER BUSINESS</w:t>
            </w:r>
          </w:p>
        </w:tc>
      </w:tr>
      <w:tr w:rsidR="00117B29" w:rsidRPr="002C0F85" w:rsidTr="00C91D52">
        <w:trPr>
          <w:gridAfter w:val="1"/>
          <w:wAfter w:w="10" w:type="pct"/>
        </w:trPr>
        <w:tc>
          <w:tcPr>
            <w:tcW w:w="4990" w:type="pct"/>
            <w:gridSpan w:val="4"/>
          </w:tcPr>
          <w:p w:rsidR="00117B29" w:rsidRDefault="00664679" w:rsidP="0099494C">
            <w:pPr>
              <w:keepLines/>
              <w:jc w:val="both"/>
              <w:rPr>
                <w:rFonts w:cs="Arial"/>
                <w:szCs w:val="24"/>
              </w:rPr>
            </w:pPr>
            <w:r>
              <w:rPr>
                <w:rFonts w:cs="Arial"/>
                <w:szCs w:val="24"/>
              </w:rPr>
              <w:t>There was no further busines</w:t>
            </w:r>
            <w:r w:rsidR="00617869">
              <w:rPr>
                <w:rFonts w:cs="Arial"/>
                <w:szCs w:val="24"/>
              </w:rPr>
              <w:t>s and the meeting ended at 20.00</w:t>
            </w:r>
            <w:r>
              <w:rPr>
                <w:rFonts w:cs="Arial"/>
                <w:szCs w:val="24"/>
              </w:rPr>
              <w:t>.</w:t>
            </w:r>
          </w:p>
        </w:tc>
      </w:tr>
      <w:tr w:rsidR="00D572DB" w:rsidRPr="002C0F85" w:rsidTr="006B1E88">
        <w:trPr>
          <w:gridAfter w:val="1"/>
          <w:wAfter w:w="10" w:type="pct"/>
        </w:trPr>
        <w:tc>
          <w:tcPr>
            <w:tcW w:w="1196" w:type="pct"/>
            <w:gridSpan w:val="2"/>
            <w:shd w:val="clear" w:color="auto" w:fill="BFBFBF" w:themeFill="background1" w:themeFillShade="BF"/>
          </w:tcPr>
          <w:p w:rsidR="00D572DB" w:rsidRPr="00D572DB" w:rsidRDefault="00617869" w:rsidP="00617869">
            <w:pPr>
              <w:keepLines/>
              <w:jc w:val="both"/>
              <w:rPr>
                <w:rFonts w:cs="Arial"/>
                <w:b/>
                <w:szCs w:val="24"/>
              </w:rPr>
            </w:pPr>
            <w:r>
              <w:rPr>
                <w:rFonts w:cs="Arial"/>
                <w:b/>
                <w:szCs w:val="24"/>
              </w:rPr>
              <w:t>11.16</w:t>
            </w:r>
          </w:p>
        </w:tc>
        <w:tc>
          <w:tcPr>
            <w:tcW w:w="3794" w:type="pct"/>
            <w:gridSpan w:val="2"/>
            <w:shd w:val="clear" w:color="auto" w:fill="BFBFBF" w:themeFill="background1" w:themeFillShade="BF"/>
          </w:tcPr>
          <w:p w:rsidR="00D572DB" w:rsidRPr="00D572DB" w:rsidRDefault="00664679" w:rsidP="00617869">
            <w:pPr>
              <w:keepLines/>
              <w:jc w:val="both"/>
              <w:rPr>
                <w:rFonts w:cs="Arial"/>
                <w:b/>
                <w:szCs w:val="24"/>
              </w:rPr>
            </w:pPr>
            <w:r>
              <w:rPr>
                <w:rFonts w:cs="Arial"/>
                <w:b/>
                <w:szCs w:val="24"/>
              </w:rPr>
              <w:t>DATES OF FUTURE MEETINGS</w:t>
            </w:r>
          </w:p>
        </w:tc>
      </w:tr>
      <w:tr w:rsidR="00D572DB" w:rsidRPr="002C0F85" w:rsidTr="00C91D52">
        <w:trPr>
          <w:gridAfter w:val="1"/>
          <w:wAfter w:w="10" w:type="pct"/>
        </w:trPr>
        <w:tc>
          <w:tcPr>
            <w:tcW w:w="4990" w:type="pct"/>
            <w:gridSpan w:val="4"/>
          </w:tcPr>
          <w:p w:rsidR="00D572DB" w:rsidRDefault="00664679" w:rsidP="00664679">
            <w:pPr>
              <w:rPr>
                <w:rFonts w:cs="Arial"/>
                <w:szCs w:val="24"/>
              </w:rPr>
            </w:pPr>
            <w:r>
              <w:rPr>
                <w:szCs w:val="24"/>
              </w:rPr>
              <w:t xml:space="preserve">Wednesday 01 March 2017 at </w:t>
            </w:r>
            <w:r w:rsidRPr="00350DF8">
              <w:rPr>
                <w:szCs w:val="24"/>
              </w:rPr>
              <w:t>6.00pm</w:t>
            </w:r>
            <w:r>
              <w:rPr>
                <w:szCs w:val="24"/>
              </w:rPr>
              <w:br/>
              <w:t xml:space="preserve">Wednesday 03 May 2017 at </w:t>
            </w:r>
            <w:r w:rsidRPr="00350DF8">
              <w:rPr>
                <w:szCs w:val="24"/>
              </w:rPr>
              <w:t>6.00pm</w:t>
            </w:r>
          </w:p>
        </w:tc>
      </w:tr>
    </w:tbl>
    <w:p w:rsidR="0099494C" w:rsidRDefault="00A81692" w:rsidP="002C0F85">
      <w:pPr>
        <w:ind w:right="5"/>
        <w:jc w:val="both"/>
        <w:rPr>
          <w:rFonts w:cs="Arial"/>
          <w:szCs w:val="24"/>
        </w:rPr>
      </w:pPr>
      <w:r>
        <w:rPr>
          <w:rFonts w:cs="Arial"/>
          <w:szCs w:val="24"/>
        </w:rPr>
        <w:tab/>
      </w:r>
    </w:p>
    <w:p w:rsidR="00A81692" w:rsidRDefault="00A81692" w:rsidP="002C0F85">
      <w:pPr>
        <w:ind w:right="5"/>
        <w:jc w:val="both"/>
        <w:rPr>
          <w:rFonts w:cs="Arial"/>
          <w:szCs w:val="24"/>
        </w:rPr>
      </w:pPr>
      <w:r>
        <w:rPr>
          <w:rFonts w:cs="Arial"/>
          <w:szCs w:val="24"/>
        </w:rPr>
        <w:t>Signed</w:t>
      </w:r>
      <w:r>
        <w:rPr>
          <w:rFonts w:cs="Arial"/>
          <w:szCs w:val="24"/>
        </w:rPr>
        <w:tab/>
        <w:t>……………………</w:t>
      </w:r>
      <w:r w:rsidR="007967ED">
        <w:rPr>
          <w:rFonts w:cs="Arial"/>
          <w:szCs w:val="24"/>
        </w:rPr>
        <w:t>………………………………….</w:t>
      </w:r>
    </w:p>
    <w:p w:rsidR="0088214D" w:rsidRDefault="00380D3D" w:rsidP="0088214D">
      <w:pPr>
        <w:ind w:left="720" w:right="5" w:firstLine="720"/>
        <w:rPr>
          <w:rFonts w:cs="Arial"/>
          <w:b/>
          <w:szCs w:val="24"/>
        </w:rPr>
      </w:pPr>
      <w:r>
        <w:rPr>
          <w:rFonts w:cs="Arial"/>
          <w:b/>
          <w:szCs w:val="24"/>
        </w:rPr>
        <w:t xml:space="preserve">Chris Muller, </w:t>
      </w:r>
      <w:r w:rsidR="007967ED" w:rsidRPr="00DE550C">
        <w:rPr>
          <w:rFonts w:cs="Arial"/>
          <w:b/>
          <w:szCs w:val="24"/>
        </w:rPr>
        <w:t xml:space="preserve">Chair of the </w:t>
      </w:r>
      <w:r>
        <w:rPr>
          <w:rFonts w:cs="Arial"/>
          <w:b/>
          <w:szCs w:val="24"/>
        </w:rPr>
        <w:t>Curriculum &amp; Quality</w:t>
      </w:r>
      <w:r w:rsidR="00565C10">
        <w:rPr>
          <w:rFonts w:cs="Arial"/>
          <w:b/>
          <w:szCs w:val="24"/>
        </w:rPr>
        <w:t xml:space="preserve"> Committee</w:t>
      </w:r>
      <w:r w:rsidR="001D271E">
        <w:rPr>
          <w:rFonts w:cs="Arial"/>
          <w:b/>
          <w:szCs w:val="24"/>
        </w:rPr>
        <w:t xml:space="preserve"> </w:t>
      </w:r>
    </w:p>
    <w:p w:rsidR="00A81692" w:rsidRDefault="00A81692" w:rsidP="0088214D">
      <w:pPr>
        <w:ind w:right="5"/>
        <w:rPr>
          <w:rFonts w:cs="Arial"/>
          <w:szCs w:val="24"/>
        </w:rPr>
      </w:pPr>
      <w:r>
        <w:rPr>
          <w:rFonts w:cs="Arial"/>
          <w:szCs w:val="24"/>
        </w:rPr>
        <w:t>Date</w:t>
      </w:r>
      <w:r>
        <w:rPr>
          <w:rFonts w:cs="Arial"/>
          <w:szCs w:val="24"/>
        </w:rPr>
        <w:tab/>
      </w:r>
      <w:r w:rsidR="00D6673F">
        <w:rPr>
          <w:rFonts w:cs="Arial"/>
          <w:szCs w:val="24"/>
        </w:rPr>
        <w:t xml:space="preserve">            </w:t>
      </w:r>
      <w:r>
        <w:rPr>
          <w:rFonts w:cs="Arial"/>
          <w:szCs w:val="24"/>
        </w:rPr>
        <w:t>………………</w:t>
      </w:r>
      <w:r w:rsidR="00F9005C">
        <w:rPr>
          <w:rFonts w:cs="Arial"/>
          <w:szCs w:val="24"/>
        </w:rPr>
        <w:t>……</w:t>
      </w:r>
    </w:p>
    <w:p w:rsidR="00DD1B7A" w:rsidRDefault="00DD1B7A" w:rsidP="0088214D">
      <w:pPr>
        <w:ind w:right="5"/>
        <w:rPr>
          <w:rFonts w:cs="Arial"/>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521"/>
      </w:tblGrid>
      <w:tr w:rsidR="001B188B" w:rsidRPr="001B188B" w:rsidTr="0029034B">
        <w:tc>
          <w:tcPr>
            <w:tcW w:w="2376" w:type="dxa"/>
            <w:shd w:val="clear" w:color="auto" w:fill="auto"/>
          </w:tcPr>
          <w:p w:rsidR="001B188B" w:rsidRPr="0029034B" w:rsidRDefault="0029034B" w:rsidP="001B188B">
            <w:pPr>
              <w:widowControl w:val="0"/>
              <w:spacing w:after="0" w:line="240" w:lineRule="auto"/>
              <w:rPr>
                <w:rFonts w:eastAsia="Times New Roman" w:cs="Arial"/>
                <w:snapToGrid w:val="0"/>
                <w:sz w:val="20"/>
                <w:szCs w:val="20"/>
                <w:lang w:eastAsia="en-GB"/>
              </w:rPr>
            </w:pPr>
            <w:r w:rsidRPr="0029034B">
              <w:rPr>
                <w:rFonts w:eastAsia="Times New Roman" w:cs="Arial"/>
                <w:snapToGrid w:val="0"/>
                <w:sz w:val="20"/>
                <w:szCs w:val="20"/>
                <w:lang w:eastAsia="en-GB"/>
              </w:rPr>
              <w:t>A</w:t>
            </w:r>
            <w:r w:rsidR="001B188B" w:rsidRPr="0029034B">
              <w:rPr>
                <w:rFonts w:eastAsia="Times New Roman" w:cs="Arial"/>
                <w:snapToGrid w:val="0"/>
                <w:sz w:val="20"/>
                <w:szCs w:val="20"/>
                <w:lang w:eastAsia="en-GB"/>
              </w:rPr>
              <w:t>uthor</w:t>
            </w:r>
          </w:p>
        </w:tc>
        <w:tc>
          <w:tcPr>
            <w:tcW w:w="6521" w:type="dxa"/>
            <w:shd w:val="clear" w:color="auto" w:fill="auto"/>
          </w:tcPr>
          <w:p w:rsidR="001B188B" w:rsidRPr="0029034B" w:rsidRDefault="00D6673F" w:rsidP="00D6673F">
            <w:pPr>
              <w:widowControl w:val="0"/>
              <w:spacing w:after="0" w:line="240" w:lineRule="auto"/>
              <w:rPr>
                <w:rFonts w:eastAsia="Times New Roman" w:cs="Arial"/>
                <w:snapToGrid w:val="0"/>
                <w:sz w:val="20"/>
                <w:szCs w:val="20"/>
                <w:lang w:eastAsia="en-GB"/>
              </w:rPr>
            </w:pPr>
            <w:r>
              <w:rPr>
                <w:rFonts w:eastAsia="Times New Roman" w:cs="Arial"/>
                <w:snapToGrid w:val="0"/>
                <w:sz w:val="20"/>
                <w:szCs w:val="20"/>
                <w:lang w:eastAsia="en-GB"/>
              </w:rPr>
              <w:t>David Round</w:t>
            </w:r>
          </w:p>
        </w:tc>
      </w:tr>
      <w:tr w:rsidR="001B188B" w:rsidRPr="001B188B" w:rsidTr="0029034B">
        <w:tc>
          <w:tcPr>
            <w:tcW w:w="2376" w:type="dxa"/>
            <w:shd w:val="clear" w:color="auto" w:fill="auto"/>
          </w:tcPr>
          <w:p w:rsidR="001B188B" w:rsidRPr="0029034B" w:rsidRDefault="001B188B" w:rsidP="001B188B">
            <w:pPr>
              <w:widowControl w:val="0"/>
              <w:spacing w:after="0" w:line="240" w:lineRule="auto"/>
              <w:rPr>
                <w:rFonts w:eastAsia="Times New Roman" w:cs="Arial"/>
                <w:snapToGrid w:val="0"/>
                <w:sz w:val="20"/>
                <w:szCs w:val="20"/>
                <w:lang w:eastAsia="en-GB"/>
              </w:rPr>
            </w:pPr>
            <w:r w:rsidRPr="0029034B">
              <w:rPr>
                <w:rFonts w:eastAsia="Times New Roman" w:cs="Arial"/>
                <w:snapToGrid w:val="0"/>
                <w:sz w:val="20"/>
                <w:szCs w:val="20"/>
                <w:lang w:eastAsia="en-GB"/>
              </w:rPr>
              <w:t>Title</w:t>
            </w:r>
          </w:p>
        </w:tc>
        <w:tc>
          <w:tcPr>
            <w:tcW w:w="6521" w:type="dxa"/>
            <w:shd w:val="clear" w:color="auto" w:fill="auto"/>
          </w:tcPr>
          <w:p w:rsidR="001B188B" w:rsidRPr="0029034B" w:rsidRDefault="001B188B" w:rsidP="00C23978">
            <w:pPr>
              <w:widowControl w:val="0"/>
              <w:spacing w:after="0" w:line="240" w:lineRule="auto"/>
              <w:rPr>
                <w:rFonts w:eastAsia="Times New Roman" w:cs="Arial"/>
                <w:snapToGrid w:val="0"/>
                <w:sz w:val="20"/>
                <w:szCs w:val="20"/>
                <w:lang w:eastAsia="en-GB"/>
              </w:rPr>
            </w:pPr>
            <w:r w:rsidRPr="0029034B">
              <w:rPr>
                <w:rFonts w:eastAsia="Times New Roman" w:cs="Arial"/>
                <w:snapToGrid w:val="0"/>
                <w:sz w:val="20"/>
                <w:szCs w:val="20"/>
                <w:lang w:eastAsia="en-GB"/>
              </w:rPr>
              <w:t xml:space="preserve">NESCOT </w:t>
            </w:r>
            <w:r w:rsidR="006C458A">
              <w:rPr>
                <w:rFonts w:eastAsia="Times New Roman" w:cs="Arial"/>
                <w:snapToGrid w:val="0"/>
                <w:sz w:val="20"/>
                <w:szCs w:val="20"/>
                <w:lang w:eastAsia="en-GB"/>
              </w:rPr>
              <w:t>Curriculum &amp; Quality</w:t>
            </w:r>
            <w:r w:rsidR="00565C10">
              <w:rPr>
                <w:rFonts w:eastAsia="Times New Roman" w:cs="Arial"/>
                <w:snapToGrid w:val="0"/>
                <w:sz w:val="20"/>
                <w:szCs w:val="20"/>
                <w:lang w:eastAsia="en-GB"/>
              </w:rPr>
              <w:t xml:space="preserve"> Committee </w:t>
            </w:r>
            <w:r w:rsidR="003E766A" w:rsidRPr="0029034B">
              <w:rPr>
                <w:rFonts w:eastAsia="Times New Roman" w:cs="Arial"/>
                <w:snapToGrid w:val="0"/>
                <w:sz w:val="20"/>
                <w:szCs w:val="20"/>
                <w:lang w:eastAsia="en-GB"/>
              </w:rPr>
              <w:t xml:space="preserve">Minutes </w:t>
            </w:r>
            <w:r w:rsidR="00C23978">
              <w:rPr>
                <w:rFonts w:eastAsia="Times New Roman" w:cs="Arial"/>
                <w:snapToGrid w:val="0"/>
                <w:sz w:val="20"/>
                <w:szCs w:val="20"/>
                <w:lang w:eastAsia="en-GB"/>
              </w:rPr>
              <w:t xml:space="preserve">09 November </w:t>
            </w:r>
            <w:r w:rsidR="00BF1941">
              <w:rPr>
                <w:rFonts w:eastAsia="Times New Roman" w:cs="Arial"/>
                <w:snapToGrid w:val="0"/>
                <w:sz w:val="20"/>
                <w:szCs w:val="20"/>
                <w:lang w:eastAsia="en-GB"/>
              </w:rPr>
              <w:t>2016</w:t>
            </w:r>
          </w:p>
        </w:tc>
      </w:tr>
      <w:tr w:rsidR="001B188B" w:rsidRPr="001B188B" w:rsidTr="0029034B">
        <w:tc>
          <w:tcPr>
            <w:tcW w:w="2376" w:type="dxa"/>
            <w:shd w:val="clear" w:color="auto" w:fill="auto"/>
          </w:tcPr>
          <w:p w:rsidR="001B188B" w:rsidRPr="0029034B" w:rsidRDefault="001B188B" w:rsidP="001B188B">
            <w:pPr>
              <w:widowControl w:val="0"/>
              <w:spacing w:after="0" w:line="240" w:lineRule="auto"/>
              <w:rPr>
                <w:rFonts w:eastAsia="Times New Roman" w:cs="Arial"/>
                <w:snapToGrid w:val="0"/>
                <w:sz w:val="20"/>
                <w:szCs w:val="20"/>
                <w:lang w:eastAsia="en-GB"/>
              </w:rPr>
            </w:pPr>
            <w:r w:rsidRPr="0029034B">
              <w:rPr>
                <w:rFonts w:eastAsia="Times New Roman" w:cs="Arial"/>
                <w:snapToGrid w:val="0"/>
                <w:sz w:val="20"/>
                <w:szCs w:val="20"/>
                <w:lang w:eastAsia="en-GB"/>
              </w:rPr>
              <w:t>Date</w:t>
            </w:r>
          </w:p>
        </w:tc>
        <w:tc>
          <w:tcPr>
            <w:tcW w:w="6521" w:type="dxa"/>
            <w:shd w:val="clear" w:color="auto" w:fill="auto"/>
          </w:tcPr>
          <w:p w:rsidR="001B188B" w:rsidRPr="0029034B" w:rsidRDefault="00C23978" w:rsidP="006C458A">
            <w:pPr>
              <w:widowControl w:val="0"/>
              <w:spacing w:after="0" w:line="240" w:lineRule="auto"/>
              <w:rPr>
                <w:rFonts w:eastAsia="Times New Roman" w:cs="Arial"/>
                <w:snapToGrid w:val="0"/>
                <w:sz w:val="20"/>
                <w:szCs w:val="20"/>
                <w:lang w:eastAsia="en-GB"/>
              </w:rPr>
            </w:pPr>
            <w:r>
              <w:rPr>
                <w:rFonts w:eastAsia="Times New Roman" w:cs="Arial"/>
                <w:snapToGrid w:val="0"/>
                <w:sz w:val="20"/>
                <w:szCs w:val="20"/>
                <w:lang w:eastAsia="en-GB"/>
              </w:rPr>
              <w:t>18/11/2016</w:t>
            </w:r>
          </w:p>
        </w:tc>
      </w:tr>
      <w:tr w:rsidR="001B188B" w:rsidRPr="001B188B" w:rsidTr="0029034B">
        <w:tc>
          <w:tcPr>
            <w:tcW w:w="2376" w:type="dxa"/>
            <w:shd w:val="clear" w:color="auto" w:fill="auto"/>
          </w:tcPr>
          <w:p w:rsidR="001B188B" w:rsidRPr="0029034B" w:rsidRDefault="001B188B" w:rsidP="001B188B">
            <w:pPr>
              <w:widowControl w:val="0"/>
              <w:spacing w:after="0" w:line="240" w:lineRule="auto"/>
              <w:rPr>
                <w:rFonts w:eastAsia="Times New Roman" w:cs="Arial"/>
                <w:snapToGrid w:val="0"/>
                <w:sz w:val="20"/>
                <w:szCs w:val="20"/>
                <w:lang w:eastAsia="en-GB"/>
              </w:rPr>
            </w:pPr>
            <w:r w:rsidRPr="0029034B">
              <w:rPr>
                <w:rFonts w:eastAsia="Times New Roman" w:cs="Arial"/>
                <w:snapToGrid w:val="0"/>
                <w:sz w:val="20"/>
                <w:szCs w:val="20"/>
                <w:lang w:eastAsia="en-GB"/>
              </w:rPr>
              <w:t xml:space="preserve">File Ref: </w:t>
            </w:r>
          </w:p>
        </w:tc>
        <w:tc>
          <w:tcPr>
            <w:tcW w:w="6521" w:type="dxa"/>
            <w:shd w:val="clear" w:color="auto" w:fill="auto"/>
          </w:tcPr>
          <w:p w:rsidR="001B188B" w:rsidRPr="0029034B" w:rsidRDefault="00D6673F" w:rsidP="0029034B">
            <w:pPr>
              <w:widowControl w:val="0"/>
              <w:spacing w:after="0" w:line="240" w:lineRule="auto"/>
              <w:rPr>
                <w:rFonts w:eastAsia="Times New Roman" w:cs="Arial"/>
                <w:snapToGrid w:val="0"/>
                <w:sz w:val="20"/>
                <w:szCs w:val="20"/>
                <w:lang w:eastAsia="en-GB"/>
              </w:rPr>
            </w:pPr>
            <w:r>
              <w:rPr>
                <w:rFonts w:eastAsia="Times New Roman" w:cs="Arial"/>
                <w:snapToGrid w:val="0"/>
                <w:sz w:val="20"/>
                <w:szCs w:val="20"/>
                <w:lang w:eastAsia="en-GB"/>
              </w:rPr>
              <w:fldChar w:fldCharType="begin"/>
            </w:r>
            <w:r>
              <w:rPr>
                <w:rFonts w:eastAsia="Times New Roman" w:cs="Arial"/>
                <w:snapToGrid w:val="0"/>
                <w:sz w:val="20"/>
                <w:szCs w:val="20"/>
                <w:lang w:eastAsia="en-GB"/>
              </w:rPr>
              <w:instrText xml:space="preserve"> FILENAME  \* Lower \p  \* MERGEFORMAT </w:instrText>
            </w:r>
            <w:r>
              <w:rPr>
                <w:rFonts w:eastAsia="Times New Roman" w:cs="Arial"/>
                <w:snapToGrid w:val="0"/>
                <w:sz w:val="20"/>
                <w:szCs w:val="20"/>
                <w:lang w:eastAsia="en-GB"/>
              </w:rPr>
              <w:fldChar w:fldCharType="separate"/>
            </w:r>
            <w:r w:rsidR="00C23978">
              <w:rPr>
                <w:rFonts w:eastAsia="Times New Roman" w:cs="Arial"/>
                <w:noProof/>
                <w:snapToGrid w:val="0"/>
                <w:sz w:val="20"/>
                <w:szCs w:val="20"/>
                <w:lang w:eastAsia="en-GB"/>
              </w:rPr>
              <w:t>c:\users\user1\dropbox\nescot folders\nescot corporation\curriculum and quality committee\cqc 091116\minutes of the meeting\cqc minutes 091116 draft.docx</w:t>
            </w:r>
            <w:r>
              <w:rPr>
                <w:rFonts w:eastAsia="Times New Roman" w:cs="Arial"/>
                <w:snapToGrid w:val="0"/>
                <w:sz w:val="20"/>
                <w:szCs w:val="20"/>
                <w:lang w:eastAsia="en-GB"/>
              </w:rPr>
              <w:fldChar w:fldCharType="end"/>
            </w:r>
            <w:r w:rsidR="00A34E94">
              <w:rPr>
                <w:rFonts w:eastAsia="Times New Roman" w:cs="Arial"/>
                <w:snapToGrid w:val="0"/>
                <w:sz w:val="20"/>
                <w:szCs w:val="20"/>
                <w:lang w:eastAsia="en-GB"/>
              </w:rPr>
              <w:t xml:space="preserve"> </w:t>
            </w:r>
          </w:p>
        </w:tc>
      </w:tr>
    </w:tbl>
    <w:p w:rsidR="001B188B" w:rsidRPr="00F86600" w:rsidRDefault="001B188B" w:rsidP="0088214D">
      <w:pPr>
        <w:ind w:left="360" w:right="5"/>
        <w:rPr>
          <w:rFonts w:cs="Arial"/>
          <w:szCs w:val="24"/>
        </w:rPr>
      </w:pPr>
    </w:p>
    <w:sectPr w:rsidR="001B188B" w:rsidRPr="00F86600" w:rsidSect="00617869">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6C" w:rsidRDefault="00F1596C" w:rsidP="00AA024F">
      <w:pPr>
        <w:spacing w:after="0" w:line="240" w:lineRule="auto"/>
      </w:pPr>
      <w:r>
        <w:separator/>
      </w:r>
    </w:p>
  </w:endnote>
  <w:endnote w:type="continuationSeparator" w:id="0">
    <w:p w:rsidR="00F1596C" w:rsidRDefault="00F1596C" w:rsidP="00AA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7D" w:rsidRDefault="00631F7D" w:rsidP="00DA6FD1">
    <w:pPr>
      <w:pStyle w:val="Footer"/>
      <w:keepNext/>
    </w:pPr>
    <w:r>
      <w:rPr>
        <w:noProof/>
        <w:lang w:eastAsia="en-GB"/>
      </w:rPr>
      <mc:AlternateContent>
        <mc:Choice Requires="wps">
          <w:drawing>
            <wp:anchor distT="182880" distB="182880" distL="114300" distR="114300" simplePos="0" relativeHeight="251657216"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76"/>
                            <w:gridCol w:w="8289"/>
                            <w:gridCol w:w="451"/>
                          </w:tblGrid>
                          <w:tr w:rsidR="00631F7D" w:rsidTr="008A7521">
                            <w:trPr>
                              <w:trHeight w:hRule="exact" w:val="360"/>
                            </w:trPr>
                            <w:tc>
                              <w:tcPr>
                                <w:tcW w:w="153" w:type="pct"/>
                                <w:shd w:val="clear" w:color="auto" w:fill="CCC0D9" w:themeFill="accent4" w:themeFillTint="66"/>
                                <w:vAlign w:val="center"/>
                              </w:tcPr>
                              <w:p w:rsidR="00631F7D" w:rsidRDefault="00631F7D">
                                <w:pPr>
                                  <w:pStyle w:val="Footer"/>
                                  <w:spacing w:before="40" w:after="40"/>
                                  <w:rPr>
                                    <w:color w:val="FFFFFF" w:themeColor="background1"/>
                                  </w:rPr>
                                </w:pPr>
                              </w:p>
                            </w:tc>
                            <w:tc>
                              <w:tcPr>
                                <w:tcW w:w="4597" w:type="pct"/>
                                <w:tcBorders>
                                  <w:bottom w:val="single" w:sz="4" w:space="0" w:color="auto"/>
                                </w:tcBorders>
                                <w:shd w:val="clear" w:color="auto" w:fill="5F497A" w:themeFill="accent4" w:themeFillShade="BF"/>
                                <w:vAlign w:val="center"/>
                              </w:tcPr>
                              <w:p w:rsidR="00631F7D" w:rsidRDefault="00631F7D">
                                <w:pPr>
                                  <w:pStyle w:val="Footer"/>
                                  <w:spacing w:before="40" w:after="40"/>
                                  <w:ind w:left="144" w:right="144"/>
                                  <w:rPr>
                                    <w:color w:val="FFFFFF" w:themeColor="background1"/>
                                  </w:rPr>
                                </w:pPr>
                              </w:p>
                            </w:tc>
                            <w:tc>
                              <w:tcPr>
                                <w:tcW w:w="250" w:type="pct"/>
                                <w:shd w:val="clear" w:color="auto" w:fill="CCC0D9" w:themeFill="accent4" w:themeFillTint="66"/>
                                <w:vAlign w:val="center"/>
                              </w:tcPr>
                              <w:p w:rsidR="00631F7D" w:rsidRDefault="00631F7D">
                                <w:pPr>
                                  <w:pStyle w:val="Footer"/>
                                  <w:spacing w:before="40" w:after="40"/>
                                  <w:jc w:val="center"/>
                                  <w:rPr>
                                    <w:color w:val="FFFFFF" w:themeColor="background1"/>
                                  </w:rPr>
                                </w:pPr>
                                <w:r w:rsidRPr="008A7521">
                                  <w:fldChar w:fldCharType="begin"/>
                                </w:r>
                                <w:r w:rsidRPr="008A7521">
                                  <w:instrText xml:space="preserve"> PAGE   \* MERGEFORMAT </w:instrText>
                                </w:r>
                                <w:r w:rsidRPr="008A7521">
                                  <w:fldChar w:fldCharType="separate"/>
                                </w:r>
                                <w:r w:rsidR="00C475D7">
                                  <w:rPr>
                                    <w:noProof/>
                                  </w:rPr>
                                  <w:t>4</w:t>
                                </w:r>
                                <w:r w:rsidRPr="008A7521">
                                  <w:rPr>
                                    <w:noProof/>
                                  </w:rPr>
                                  <w:fldChar w:fldCharType="end"/>
                                </w:r>
                              </w:p>
                            </w:tc>
                          </w:tr>
                        </w:tbl>
                        <w:p w:rsidR="00631F7D" w:rsidRDefault="00631F7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7216;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76"/>
                      <w:gridCol w:w="8289"/>
                      <w:gridCol w:w="451"/>
                    </w:tblGrid>
                    <w:tr w:rsidR="00631F7D" w:rsidTr="008A7521">
                      <w:trPr>
                        <w:trHeight w:hRule="exact" w:val="360"/>
                      </w:trPr>
                      <w:tc>
                        <w:tcPr>
                          <w:tcW w:w="153" w:type="pct"/>
                          <w:shd w:val="clear" w:color="auto" w:fill="CCC0D9" w:themeFill="accent4" w:themeFillTint="66"/>
                          <w:vAlign w:val="center"/>
                        </w:tcPr>
                        <w:p w:rsidR="00631F7D" w:rsidRDefault="00631F7D">
                          <w:pPr>
                            <w:pStyle w:val="Footer"/>
                            <w:spacing w:before="40" w:after="40"/>
                            <w:rPr>
                              <w:color w:val="FFFFFF" w:themeColor="background1"/>
                            </w:rPr>
                          </w:pPr>
                        </w:p>
                      </w:tc>
                      <w:tc>
                        <w:tcPr>
                          <w:tcW w:w="4597" w:type="pct"/>
                          <w:tcBorders>
                            <w:bottom w:val="single" w:sz="4" w:space="0" w:color="auto"/>
                          </w:tcBorders>
                          <w:shd w:val="clear" w:color="auto" w:fill="5F497A" w:themeFill="accent4" w:themeFillShade="BF"/>
                          <w:vAlign w:val="center"/>
                        </w:tcPr>
                        <w:p w:rsidR="00631F7D" w:rsidRDefault="00631F7D">
                          <w:pPr>
                            <w:pStyle w:val="Footer"/>
                            <w:spacing w:before="40" w:after="40"/>
                            <w:ind w:left="144" w:right="144"/>
                            <w:rPr>
                              <w:color w:val="FFFFFF" w:themeColor="background1"/>
                            </w:rPr>
                          </w:pPr>
                        </w:p>
                      </w:tc>
                      <w:tc>
                        <w:tcPr>
                          <w:tcW w:w="250" w:type="pct"/>
                          <w:shd w:val="clear" w:color="auto" w:fill="CCC0D9" w:themeFill="accent4" w:themeFillTint="66"/>
                          <w:vAlign w:val="center"/>
                        </w:tcPr>
                        <w:p w:rsidR="00631F7D" w:rsidRDefault="00631F7D">
                          <w:pPr>
                            <w:pStyle w:val="Footer"/>
                            <w:spacing w:before="40" w:after="40"/>
                            <w:jc w:val="center"/>
                            <w:rPr>
                              <w:color w:val="FFFFFF" w:themeColor="background1"/>
                            </w:rPr>
                          </w:pPr>
                          <w:r w:rsidRPr="008A7521">
                            <w:fldChar w:fldCharType="begin"/>
                          </w:r>
                          <w:r w:rsidRPr="008A7521">
                            <w:instrText xml:space="preserve"> PAGE   \* MERGEFORMAT </w:instrText>
                          </w:r>
                          <w:r w:rsidRPr="008A7521">
                            <w:fldChar w:fldCharType="separate"/>
                          </w:r>
                          <w:r w:rsidR="00C475D7">
                            <w:rPr>
                              <w:noProof/>
                            </w:rPr>
                            <w:t>4</w:t>
                          </w:r>
                          <w:r w:rsidRPr="008A7521">
                            <w:rPr>
                              <w:noProof/>
                            </w:rPr>
                            <w:fldChar w:fldCharType="end"/>
                          </w:r>
                        </w:p>
                      </w:tc>
                    </w:tr>
                  </w:tbl>
                  <w:p w:rsidR="00631F7D" w:rsidRDefault="00631F7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6C" w:rsidRDefault="00F1596C" w:rsidP="00AA024F">
      <w:pPr>
        <w:spacing w:after="0" w:line="240" w:lineRule="auto"/>
      </w:pPr>
      <w:r>
        <w:separator/>
      </w:r>
    </w:p>
  </w:footnote>
  <w:footnote w:type="continuationSeparator" w:id="0">
    <w:p w:rsidR="00F1596C" w:rsidRDefault="00F1596C" w:rsidP="00AA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8FD"/>
    <w:multiLevelType w:val="hybridMultilevel"/>
    <w:tmpl w:val="6C7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E8F"/>
    <w:multiLevelType w:val="hybridMultilevel"/>
    <w:tmpl w:val="873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6F96"/>
    <w:multiLevelType w:val="hybridMultilevel"/>
    <w:tmpl w:val="2C7E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61254"/>
    <w:multiLevelType w:val="hybridMultilevel"/>
    <w:tmpl w:val="9FC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6C46"/>
    <w:multiLevelType w:val="hybridMultilevel"/>
    <w:tmpl w:val="1956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42A01"/>
    <w:multiLevelType w:val="hybridMultilevel"/>
    <w:tmpl w:val="6CD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C2764"/>
    <w:multiLevelType w:val="hybridMultilevel"/>
    <w:tmpl w:val="B2D8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0186E"/>
    <w:multiLevelType w:val="hybridMultilevel"/>
    <w:tmpl w:val="BE102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23F49"/>
    <w:multiLevelType w:val="hybridMultilevel"/>
    <w:tmpl w:val="236C2F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C2417E4"/>
    <w:multiLevelType w:val="hybridMultilevel"/>
    <w:tmpl w:val="565E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05138"/>
    <w:multiLevelType w:val="hybridMultilevel"/>
    <w:tmpl w:val="531E2A2E"/>
    <w:lvl w:ilvl="0" w:tplc="366AF2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E27ED"/>
    <w:multiLevelType w:val="hybridMultilevel"/>
    <w:tmpl w:val="AF44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92F58"/>
    <w:multiLevelType w:val="hybridMultilevel"/>
    <w:tmpl w:val="FC76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072E"/>
    <w:multiLevelType w:val="hybridMultilevel"/>
    <w:tmpl w:val="529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11E0C"/>
    <w:multiLevelType w:val="hybridMultilevel"/>
    <w:tmpl w:val="D666A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1E3D7B"/>
    <w:multiLevelType w:val="hybridMultilevel"/>
    <w:tmpl w:val="A09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F7F92"/>
    <w:multiLevelType w:val="hybridMultilevel"/>
    <w:tmpl w:val="92CAB8B6"/>
    <w:lvl w:ilvl="0" w:tplc="227C3C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364C1"/>
    <w:multiLevelType w:val="hybridMultilevel"/>
    <w:tmpl w:val="E0B04742"/>
    <w:lvl w:ilvl="0" w:tplc="08090001">
      <w:start w:val="1"/>
      <w:numFmt w:val="bullet"/>
      <w:lvlText w:val=""/>
      <w:lvlJc w:val="left"/>
      <w:pPr>
        <w:ind w:left="720" w:hanging="360"/>
      </w:pPr>
      <w:rPr>
        <w:rFonts w:ascii="Symbol" w:hAnsi="Symbol" w:hint="default"/>
      </w:rPr>
    </w:lvl>
    <w:lvl w:ilvl="1" w:tplc="B66A8C9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A1BD0"/>
    <w:multiLevelType w:val="hybridMultilevel"/>
    <w:tmpl w:val="7576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C7991"/>
    <w:multiLevelType w:val="hybridMultilevel"/>
    <w:tmpl w:val="01F8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403F8"/>
    <w:multiLevelType w:val="hybridMultilevel"/>
    <w:tmpl w:val="2DA2F90C"/>
    <w:lvl w:ilvl="0" w:tplc="227C3C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935E6"/>
    <w:multiLevelType w:val="hybridMultilevel"/>
    <w:tmpl w:val="E96C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D2045"/>
    <w:multiLevelType w:val="hybridMultilevel"/>
    <w:tmpl w:val="83F4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B686F"/>
    <w:multiLevelType w:val="hybridMultilevel"/>
    <w:tmpl w:val="818E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50E68"/>
    <w:multiLevelType w:val="hybridMultilevel"/>
    <w:tmpl w:val="96C4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B3278"/>
    <w:multiLevelType w:val="hybridMultilevel"/>
    <w:tmpl w:val="FF448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878E6"/>
    <w:multiLevelType w:val="hybridMultilevel"/>
    <w:tmpl w:val="B4D0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16BD2"/>
    <w:multiLevelType w:val="hybridMultilevel"/>
    <w:tmpl w:val="38A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4996"/>
    <w:multiLevelType w:val="hybridMultilevel"/>
    <w:tmpl w:val="910C1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8"/>
  </w:num>
  <w:num w:numId="4">
    <w:abstractNumId w:val="7"/>
  </w:num>
  <w:num w:numId="5">
    <w:abstractNumId w:val="2"/>
  </w:num>
  <w:num w:numId="6">
    <w:abstractNumId w:val="20"/>
  </w:num>
  <w:num w:numId="7">
    <w:abstractNumId w:val="14"/>
  </w:num>
  <w:num w:numId="8">
    <w:abstractNumId w:val="11"/>
  </w:num>
  <w:num w:numId="9">
    <w:abstractNumId w:val="10"/>
  </w:num>
  <w:num w:numId="10">
    <w:abstractNumId w:val="9"/>
  </w:num>
  <w:num w:numId="11">
    <w:abstractNumId w:val="18"/>
  </w:num>
  <w:num w:numId="12">
    <w:abstractNumId w:val="27"/>
  </w:num>
  <w:num w:numId="13">
    <w:abstractNumId w:val="15"/>
  </w:num>
  <w:num w:numId="14">
    <w:abstractNumId w:val="0"/>
  </w:num>
  <w:num w:numId="15">
    <w:abstractNumId w:val="1"/>
  </w:num>
  <w:num w:numId="16">
    <w:abstractNumId w:val="13"/>
  </w:num>
  <w:num w:numId="17">
    <w:abstractNumId w:val="17"/>
  </w:num>
  <w:num w:numId="18">
    <w:abstractNumId w:val="21"/>
  </w:num>
  <w:num w:numId="19">
    <w:abstractNumId w:val="4"/>
  </w:num>
  <w:num w:numId="20">
    <w:abstractNumId w:val="3"/>
  </w:num>
  <w:num w:numId="21">
    <w:abstractNumId w:val="16"/>
  </w:num>
  <w:num w:numId="22">
    <w:abstractNumId w:val="22"/>
  </w:num>
  <w:num w:numId="23">
    <w:abstractNumId w:val="19"/>
  </w:num>
  <w:num w:numId="24">
    <w:abstractNumId w:val="12"/>
  </w:num>
  <w:num w:numId="25">
    <w:abstractNumId w:val="8"/>
  </w:num>
  <w:num w:numId="26">
    <w:abstractNumId w:val="26"/>
  </w:num>
  <w:num w:numId="27">
    <w:abstractNumId w:val="5"/>
  </w:num>
  <w:num w:numId="28">
    <w:abstractNumId w:val="25"/>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52"/>
    <w:rsid w:val="000004F1"/>
    <w:rsid w:val="00001602"/>
    <w:rsid w:val="00003067"/>
    <w:rsid w:val="000033EA"/>
    <w:rsid w:val="00003C8F"/>
    <w:rsid w:val="00003DB9"/>
    <w:rsid w:val="00006D20"/>
    <w:rsid w:val="00007421"/>
    <w:rsid w:val="00007785"/>
    <w:rsid w:val="000079E6"/>
    <w:rsid w:val="00007E23"/>
    <w:rsid w:val="00010AEA"/>
    <w:rsid w:val="00010C9B"/>
    <w:rsid w:val="00010F18"/>
    <w:rsid w:val="00011436"/>
    <w:rsid w:val="00013C9D"/>
    <w:rsid w:val="00014875"/>
    <w:rsid w:val="000155F5"/>
    <w:rsid w:val="00015A12"/>
    <w:rsid w:val="00016F82"/>
    <w:rsid w:val="0001719B"/>
    <w:rsid w:val="000171F8"/>
    <w:rsid w:val="00021B8E"/>
    <w:rsid w:val="00022971"/>
    <w:rsid w:val="00023DDD"/>
    <w:rsid w:val="00023E88"/>
    <w:rsid w:val="00024CFC"/>
    <w:rsid w:val="00025D55"/>
    <w:rsid w:val="0002683B"/>
    <w:rsid w:val="00027282"/>
    <w:rsid w:val="00027D7E"/>
    <w:rsid w:val="00030F23"/>
    <w:rsid w:val="00031431"/>
    <w:rsid w:val="00031460"/>
    <w:rsid w:val="00031AE6"/>
    <w:rsid w:val="00031ED3"/>
    <w:rsid w:val="00032A6A"/>
    <w:rsid w:val="00032D80"/>
    <w:rsid w:val="0003464A"/>
    <w:rsid w:val="00034946"/>
    <w:rsid w:val="00034964"/>
    <w:rsid w:val="000358D6"/>
    <w:rsid w:val="00036393"/>
    <w:rsid w:val="00036DEE"/>
    <w:rsid w:val="0003705D"/>
    <w:rsid w:val="0003726D"/>
    <w:rsid w:val="00037B7A"/>
    <w:rsid w:val="000406F6"/>
    <w:rsid w:val="000407A4"/>
    <w:rsid w:val="00042496"/>
    <w:rsid w:val="00042935"/>
    <w:rsid w:val="0004324E"/>
    <w:rsid w:val="0004398F"/>
    <w:rsid w:val="00043E41"/>
    <w:rsid w:val="00044924"/>
    <w:rsid w:val="00044B47"/>
    <w:rsid w:val="00044FBF"/>
    <w:rsid w:val="00046C70"/>
    <w:rsid w:val="0005061B"/>
    <w:rsid w:val="00050F9A"/>
    <w:rsid w:val="000536F4"/>
    <w:rsid w:val="00053AC4"/>
    <w:rsid w:val="00053E6D"/>
    <w:rsid w:val="00056284"/>
    <w:rsid w:val="000568C7"/>
    <w:rsid w:val="000576BC"/>
    <w:rsid w:val="000576CA"/>
    <w:rsid w:val="00060198"/>
    <w:rsid w:val="00060555"/>
    <w:rsid w:val="00060DEF"/>
    <w:rsid w:val="00060E84"/>
    <w:rsid w:val="00061390"/>
    <w:rsid w:val="00062245"/>
    <w:rsid w:val="00064874"/>
    <w:rsid w:val="00065FD3"/>
    <w:rsid w:val="00066135"/>
    <w:rsid w:val="0006672F"/>
    <w:rsid w:val="000671C3"/>
    <w:rsid w:val="00070292"/>
    <w:rsid w:val="000709CE"/>
    <w:rsid w:val="00070B43"/>
    <w:rsid w:val="0007103B"/>
    <w:rsid w:val="00071E6A"/>
    <w:rsid w:val="0007216B"/>
    <w:rsid w:val="00074812"/>
    <w:rsid w:val="000750AC"/>
    <w:rsid w:val="00075CD6"/>
    <w:rsid w:val="0007656D"/>
    <w:rsid w:val="00076AA6"/>
    <w:rsid w:val="00076B66"/>
    <w:rsid w:val="00076D81"/>
    <w:rsid w:val="000779AF"/>
    <w:rsid w:val="0008089E"/>
    <w:rsid w:val="00081D18"/>
    <w:rsid w:val="00082F30"/>
    <w:rsid w:val="000843B8"/>
    <w:rsid w:val="00084565"/>
    <w:rsid w:val="00084C48"/>
    <w:rsid w:val="00085A47"/>
    <w:rsid w:val="00086CDC"/>
    <w:rsid w:val="00090326"/>
    <w:rsid w:val="00090775"/>
    <w:rsid w:val="00090E34"/>
    <w:rsid w:val="00092766"/>
    <w:rsid w:val="00092BD5"/>
    <w:rsid w:val="0009328A"/>
    <w:rsid w:val="0009352B"/>
    <w:rsid w:val="000949D2"/>
    <w:rsid w:val="00094AB4"/>
    <w:rsid w:val="000951BD"/>
    <w:rsid w:val="000958AC"/>
    <w:rsid w:val="00096224"/>
    <w:rsid w:val="00096452"/>
    <w:rsid w:val="00096D2D"/>
    <w:rsid w:val="00097DB3"/>
    <w:rsid w:val="000A0758"/>
    <w:rsid w:val="000A139B"/>
    <w:rsid w:val="000A3706"/>
    <w:rsid w:val="000A4C34"/>
    <w:rsid w:val="000A55C7"/>
    <w:rsid w:val="000A56A4"/>
    <w:rsid w:val="000A6059"/>
    <w:rsid w:val="000A6216"/>
    <w:rsid w:val="000A6E28"/>
    <w:rsid w:val="000B0862"/>
    <w:rsid w:val="000B09D0"/>
    <w:rsid w:val="000B0AEB"/>
    <w:rsid w:val="000B12B6"/>
    <w:rsid w:val="000B1DEA"/>
    <w:rsid w:val="000B2812"/>
    <w:rsid w:val="000B3021"/>
    <w:rsid w:val="000B3938"/>
    <w:rsid w:val="000B4B17"/>
    <w:rsid w:val="000B5995"/>
    <w:rsid w:val="000B5AFC"/>
    <w:rsid w:val="000B64CB"/>
    <w:rsid w:val="000B69CC"/>
    <w:rsid w:val="000C07DB"/>
    <w:rsid w:val="000C0BE9"/>
    <w:rsid w:val="000C161F"/>
    <w:rsid w:val="000C2614"/>
    <w:rsid w:val="000C2B3E"/>
    <w:rsid w:val="000C3366"/>
    <w:rsid w:val="000C3998"/>
    <w:rsid w:val="000C3C97"/>
    <w:rsid w:val="000C5C84"/>
    <w:rsid w:val="000C76AF"/>
    <w:rsid w:val="000C76F6"/>
    <w:rsid w:val="000C78C8"/>
    <w:rsid w:val="000C79B3"/>
    <w:rsid w:val="000D13A0"/>
    <w:rsid w:val="000D1686"/>
    <w:rsid w:val="000D5E12"/>
    <w:rsid w:val="000D64C8"/>
    <w:rsid w:val="000D7099"/>
    <w:rsid w:val="000E0F99"/>
    <w:rsid w:val="000E154D"/>
    <w:rsid w:val="000E26EC"/>
    <w:rsid w:val="000E3AE1"/>
    <w:rsid w:val="000E3EFE"/>
    <w:rsid w:val="000E4038"/>
    <w:rsid w:val="000E44EA"/>
    <w:rsid w:val="000E4E65"/>
    <w:rsid w:val="000E68A2"/>
    <w:rsid w:val="000F04C1"/>
    <w:rsid w:val="000F1F6F"/>
    <w:rsid w:val="000F316D"/>
    <w:rsid w:val="000F3502"/>
    <w:rsid w:val="000F4C24"/>
    <w:rsid w:val="000F4CF4"/>
    <w:rsid w:val="000F57F5"/>
    <w:rsid w:val="000F656F"/>
    <w:rsid w:val="000F66DB"/>
    <w:rsid w:val="000F727A"/>
    <w:rsid w:val="0010014B"/>
    <w:rsid w:val="00100BB3"/>
    <w:rsid w:val="00100C37"/>
    <w:rsid w:val="00101419"/>
    <w:rsid w:val="00101A4F"/>
    <w:rsid w:val="00103191"/>
    <w:rsid w:val="00103449"/>
    <w:rsid w:val="00103936"/>
    <w:rsid w:val="00103950"/>
    <w:rsid w:val="00103B60"/>
    <w:rsid w:val="00103D74"/>
    <w:rsid w:val="001053E2"/>
    <w:rsid w:val="00105744"/>
    <w:rsid w:val="00107402"/>
    <w:rsid w:val="00110427"/>
    <w:rsid w:val="00110B10"/>
    <w:rsid w:val="001129DE"/>
    <w:rsid w:val="00112AF6"/>
    <w:rsid w:val="0011365D"/>
    <w:rsid w:val="00115459"/>
    <w:rsid w:val="00115B29"/>
    <w:rsid w:val="00115E21"/>
    <w:rsid w:val="00116443"/>
    <w:rsid w:val="00116A1B"/>
    <w:rsid w:val="0011764A"/>
    <w:rsid w:val="00117B29"/>
    <w:rsid w:val="00117B32"/>
    <w:rsid w:val="00121488"/>
    <w:rsid w:val="0012334D"/>
    <w:rsid w:val="00124D4B"/>
    <w:rsid w:val="00125F5A"/>
    <w:rsid w:val="001277B6"/>
    <w:rsid w:val="00127F8C"/>
    <w:rsid w:val="001309D6"/>
    <w:rsid w:val="00130AF4"/>
    <w:rsid w:val="00131CE5"/>
    <w:rsid w:val="00132687"/>
    <w:rsid w:val="00133E7B"/>
    <w:rsid w:val="00134D07"/>
    <w:rsid w:val="00135CC1"/>
    <w:rsid w:val="00135E96"/>
    <w:rsid w:val="00136C0A"/>
    <w:rsid w:val="00137EB4"/>
    <w:rsid w:val="0014001C"/>
    <w:rsid w:val="001405B6"/>
    <w:rsid w:val="00142A91"/>
    <w:rsid w:val="001432EC"/>
    <w:rsid w:val="00143892"/>
    <w:rsid w:val="00144225"/>
    <w:rsid w:val="00144DED"/>
    <w:rsid w:val="00145236"/>
    <w:rsid w:val="00145C90"/>
    <w:rsid w:val="00147921"/>
    <w:rsid w:val="00150231"/>
    <w:rsid w:val="001514AC"/>
    <w:rsid w:val="001527CD"/>
    <w:rsid w:val="001527E4"/>
    <w:rsid w:val="001528AA"/>
    <w:rsid w:val="001535C8"/>
    <w:rsid w:val="00153EDE"/>
    <w:rsid w:val="00153EE9"/>
    <w:rsid w:val="00155D41"/>
    <w:rsid w:val="00157036"/>
    <w:rsid w:val="00157C4E"/>
    <w:rsid w:val="00160BA0"/>
    <w:rsid w:val="001625B3"/>
    <w:rsid w:val="0016288C"/>
    <w:rsid w:val="00162940"/>
    <w:rsid w:val="00162E4E"/>
    <w:rsid w:val="00163A3D"/>
    <w:rsid w:val="001640B6"/>
    <w:rsid w:val="001649C0"/>
    <w:rsid w:val="00167024"/>
    <w:rsid w:val="0016749B"/>
    <w:rsid w:val="001678AF"/>
    <w:rsid w:val="00167B03"/>
    <w:rsid w:val="0017027B"/>
    <w:rsid w:val="00170613"/>
    <w:rsid w:val="0017096A"/>
    <w:rsid w:val="001715CE"/>
    <w:rsid w:val="00172618"/>
    <w:rsid w:val="00173F65"/>
    <w:rsid w:val="001745DF"/>
    <w:rsid w:val="0017480D"/>
    <w:rsid w:val="001748F4"/>
    <w:rsid w:val="001749E9"/>
    <w:rsid w:val="00175892"/>
    <w:rsid w:val="00176A2F"/>
    <w:rsid w:val="001777B8"/>
    <w:rsid w:val="001817B4"/>
    <w:rsid w:val="00183371"/>
    <w:rsid w:val="00183A13"/>
    <w:rsid w:val="001848E7"/>
    <w:rsid w:val="001853C6"/>
    <w:rsid w:val="00185AB0"/>
    <w:rsid w:val="00185D6F"/>
    <w:rsid w:val="00190D29"/>
    <w:rsid w:val="00191331"/>
    <w:rsid w:val="001926BB"/>
    <w:rsid w:val="001927A4"/>
    <w:rsid w:val="00192BAE"/>
    <w:rsid w:val="00193E0C"/>
    <w:rsid w:val="00194813"/>
    <w:rsid w:val="00194E73"/>
    <w:rsid w:val="00195124"/>
    <w:rsid w:val="0019519F"/>
    <w:rsid w:val="00195920"/>
    <w:rsid w:val="00195FD7"/>
    <w:rsid w:val="001972BB"/>
    <w:rsid w:val="001A377F"/>
    <w:rsid w:val="001A432C"/>
    <w:rsid w:val="001A56A4"/>
    <w:rsid w:val="001A632E"/>
    <w:rsid w:val="001A6F61"/>
    <w:rsid w:val="001B172E"/>
    <w:rsid w:val="001B188B"/>
    <w:rsid w:val="001B192E"/>
    <w:rsid w:val="001B227A"/>
    <w:rsid w:val="001B2EB0"/>
    <w:rsid w:val="001B43B6"/>
    <w:rsid w:val="001B52F7"/>
    <w:rsid w:val="001B585F"/>
    <w:rsid w:val="001B5E8F"/>
    <w:rsid w:val="001C03BF"/>
    <w:rsid w:val="001C079B"/>
    <w:rsid w:val="001C0D3C"/>
    <w:rsid w:val="001C0F2F"/>
    <w:rsid w:val="001C0F88"/>
    <w:rsid w:val="001C410B"/>
    <w:rsid w:val="001C5AE9"/>
    <w:rsid w:val="001C63E8"/>
    <w:rsid w:val="001C6568"/>
    <w:rsid w:val="001C70DA"/>
    <w:rsid w:val="001C7520"/>
    <w:rsid w:val="001C7D7D"/>
    <w:rsid w:val="001D1618"/>
    <w:rsid w:val="001D2421"/>
    <w:rsid w:val="001D26D3"/>
    <w:rsid w:val="001D271E"/>
    <w:rsid w:val="001D2C6B"/>
    <w:rsid w:val="001D3169"/>
    <w:rsid w:val="001D4672"/>
    <w:rsid w:val="001D5BE4"/>
    <w:rsid w:val="001D6106"/>
    <w:rsid w:val="001D61C3"/>
    <w:rsid w:val="001D7066"/>
    <w:rsid w:val="001E0248"/>
    <w:rsid w:val="001E2641"/>
    <w:rsid w:val="001E26D3"/>
    <w:rsid w:val="001E2EB9"/>
    <w:rsid w:val="001E40E8"/>
    <w:rsid w:val="001E42EC"/>
    <w:rsid w:val="001E4E7D"/>
    <w:rsid w:val="001E61DB"/>
    <w:rsid w:val="001E6528"/>
    <w:rsid w:val="001E75B7"/>
    <w:rsid w:val="001F05E2"/>
    <w:rsid w:val="001F089A"/>
    <w:rsid w:val="001F273E"/>
    <w:rsid w:val="001F4237"/>
    <w:rsid w:val="001F74E2"/>
    <w:rsid w:val="002015C3"/>
    <w:rsid w:val="0020193F"/>
    <w:rsid w:val="00202701"/>
    <w:rsid w:val="002027C5"/>
    <w:rsid w:val="00202F65"/>
    <w:rsid w:val="00203D41"/>
    <w:rsid w:val="0020408B"/>
    <w:rsid w:val="00205040"/>
    <w:rsid w:val="00205F60"/>
    <w:rsid w:val="002061E0"/>
    <w:rsid w:val="002072FD"/>
    <w:rsid w:val="0020765C"/>
    <w:rsid w:val="00210172"/>
    <w:rsid w:val="002103E0"/>
    <w:rsid w:val="0021073C"/>
    <w:rsid w:val="00210C95"/>
    <w:rsid w:val="00210E40"/>
    <w:rsid w:val="00211602"/>
    <w:rsid w:val="00211E63"/>
    <w:rsid w:val="00212A06"/>
    <w:rsid w:val="00214F21"/>
    <w:rsid w:val="00215047"/>
    <w:rsid w:val="00215173"/>
    <w:rsid w:val="00215ABE"/>
    <w:rsid w:val="00217367"/>
    <w:rsid w:val="00220AED"/>
    <w:rsid w:val="00220C43"/>
    <w:rsid w:val="002214B1"/>
    <w:rsid w:val="00222373"/>
    <w:rsid w:val="00224243"/>
    <w:rsid w:val="002245D4"/>
    <w:rsid w:val="00225EB7"/>
    <w:rsid w:val="002277ED"/>
    <w:rsid w:val="00230317"/>
    <w:rsid w:val="00230763"/>
    <w:rsid w:val="00232501"/>
    <w:rsid w:val="0023414D"/>
    <w:rsid w:val="00235538"/>
    <w:rsid w:val="00235CE4"/>
    <w:rsid w:val="00235DAA"/>
    <w:rsid w:val="00236876"/>
    <w:rsid w:val="00237260"/>
    <w:rsid w:val="00237530"/>
    <w:rsid w:val="00237C61"/>
    <w:rsid w:val="00237F69"/>
    <w:rsid w:val="00237F88"/>
    <w:rsid w:val="00240795"/>
    <w:rsid w:val="002409D6"/>
    <w:rsid w:val="00240AE2"/>
    <w:rsid w:val="0024175F"/>
    <w:rsid w:val="00241A16"/>
    <w:rsid w:val="00241EA7"/>
    <w:rsid w:val="00242860"/>
    <w:rsid w:val="002437CC"/>
    <w:rsid w:val="00244DCA"/>
    <w:rsid w:val="002479BF"/>
    <w:rsid w:val="002479C8"/>
    <w:rsid w:val="002515DB"/>
    <w:rsid w:val="002527CD"/>
    <w:rsid w:val="00252936"/>
    <w:rsid w:val="002557B3"/>
    <w:rsid w:val="00255F76"/>
    <w:rsid w:val="00257736"/>
    <w:rsid w:val="00257749"/>
    <w:rsid w:val="00257EDB"/>
    <w:rsid w:val="00261234"/>
    <w:rsid w:val="00261C05"/>
    <w:rsid w:val="00261D24"/>
    <w:rsid w:val="0026217D"/>
    <w:rsid w:val="002626CE"/>
    <w:rsid w:val="00262CE1"/>
    <w:rsid w:val="0026410B"/>
    <w:rsid w:val="00264114"/>
    <w:rsid w:val="0026444C"/>
    <w:rsid w:val="002651B2"/>
    <w:rsid w:val="0026531E"/>
    <w:rsid w:val="002657AC"/>
    <w:rsid w:val="00265E54"/>
    <w:rsid w:val="002660F8"/>
    <w:rsid w:val="00266220"/>
    <w:rsid w:val="00266AA7"/>
    <w:rsid w:val="00271BF5"/>
    <w:rsid w:val="00273A37"/>
    <w:rsid w:val="00274515"/>
    <w:rsid w:val="002749CF"/>
    <w:rsid w:val="00276178"/>
    <w:rsid w:val="00277ED7"/>
    <w:rsid w:val="00280E22"/>
    <w:rsid w:val="002828BD"/>
    <w:rsid w:val="0028343E"/>
    <w:rsid w:val="0028371E"/>
    <w:rsid w:val="00283C1F"/>
    <w:rsid w:val="00285DF2"/>
    <w:rsid w:val="00285EEA"/>
    <w:rsid w:val="00286D56"/>
    <w:rsid w:val="00287328"/>
    <w:rsid w:val="0029034B"/>
    <w:rsid w:val="0029056C"/>
    <w:rsid w:val="00290C9E"/>
    <w:rsid w:val="00293389"/>
    <w:rsid w:val="00293472"/>
    <w:rsid w:val="00293609"/>
    <w:rsid w:val="00293B2B"/>
    <w:rsid w:val="00293E6C"/>
    <w:rsid w:val="002942B5"/>
    <w:rsid w:val="002946DA"/>
    <w:rsid w:val="00294D66"/>
    <w:rsid w:val="00296C4E"/>
    <w:rsid w:val="002A0D7C"/>
    <w:rsid w:val="002A10E8"/>
    <w:rsid w:val="002A1BCC"/>
    <w:rsid w:val="002A2177"/>
    <w:rsid w:val="002A326C"/>
    <w:rsid w:val="002A3F34"/>
    <w:rsid w:val="002A4719"/>
    <w:rsid w:val="002A47A3"/>
    <w:rsid w:val="002A57E7"/>
    <w:rsid w:val="002A6976"/>
    <w:rsid w:val="002A6EA4"/>
    <w:rsid w:val="002A7D85"/>
    <w:rsid w:val="002B0E5F"/>
    <w:rsid w:val="002B11C2"/>
    <w:rsid w:val="002B17F4"/>
    <w:rsid w:val="002B1BEE"/>
    <w:rsid w:val="002B20AF"/>
    <w:rsid w:val="002B23E2"/>
    <w:rsid w:val="002B3721"/>
    <w:rsid w:val="002B5035"/>
    <w:rsid w:val="002B5100"/>
    <w:rsid w:val="002B7895"/>
    <w:rsid w:val="002B7B8A"/>
    <w:rsid w:val="002C0015"/>
    <w:rsid w:val="002C0591"/>
    <w:rsid w:val="002C0F85"/>
    <w:rsid w:val="002C1D76"/>
    <w:rsid w:val="002C3CA3"/>
    <w:rsid w:val="002C45D0"/>
    <w:rsid w:val="002C4A6B"/>
    <w:rsid w:val="002C57AA"/>
    <w:rsid w:val="002C5A3F"/>
    <w:rsid w:val="002C704B"/>
    <w:rsid w:val="002C7257"/>
    <w:rsid w:val="002C7578"/>
    <w:rsid w:val="002D044E"/>
    <w:rsid w:val="002D083B"/>
    <w:rsid w:val="002D0FDD"/>
    <w:rsid w:val="002D14C1"/>
    <w:rsid w:val="002D1C04"/>
    <w:rsid w:val="002D2757"/>
    <w:rsid w:val="002D3503"/>
    <w:rsid w:val="002D4CF8"/>
    <w:rsid w:val="002D56D3"/>
    <w:rsid w:val="002D5EE5"/>
    <w:rsid w:val="002D6236"/>
    <w:rsid w:val="002D6AAF"/>
    <w:rsid w:val="002D7A3E"/>
    <w:rsid w:val="002D7FE1"/>
    <w:rsid w:val="002E0BBF"/>
    <w:rsid w:val="002E0E42"/>
    <w:rsid w:val="002E27E5"/>
    <w:rsid w:val="002E321E"/>
    <w:rsid w:val="002E404F"/>
    <w:rsid w:val="002E43F0"/>
    <w:rsid w:val="002E6DE9"/>
    <w:rsid w:val="002F0B94"/>
    <w:rsid w:val="002F0BFF"/>
    <w:rsid w:val="002F0C1F"/>
    <w:rsid w:val="002F0CEE"/>
    <w:rsid w:val="002F1AA7"/>
    <w:rsid w:val="002F2E7F"/>
    <w:rsid w:val="002F30BA"/>
    <w:rsid w:val="002F3560"/>
    <w:rsid w:val="002F3F39"/>
    <w:rsid w:val="002F51D2"/>
    <w:rsid w:val="002F535E"/>
    <w:rsid w:val="002F6BB5"/>
    <w:rsid w:val="002F7081"/>
    <w:rsid w:val="002F75DA"/>
    <w:rsid w:val="002F7F9C"/>
    <w:rsid w:val="00300C0A"/>
    <w:rsid w:val="00300E88"/>
    <w:rsid w:val="00301B46"/>
    <w:rsid w:val="003020E5"/>
    <w:rsid w:val="00303230"/>
    <w:rsid w:val="0030340C"/>
    <w:rsid w:val="003043DC"/>
    <w:rsid w:val="00304A2F"/>
    <w:rsid w:val="003057A0"/>
    <w:rsid w:val="00305891"/>
    <w:rsid w:val="00305A4D"/>
    <w:rsid w:val="003064D9"/>
    <w:rsid w:val="0030660D"/>
    <w:rsid w:val="00306BB7"/>
    <w:rsid w:val="00306FCE"/>
    <w:rsid w:val="0030775E"/>
    <w:rsid w:val="00307770"/>
    <w:rsid w:val="00311389"/>
    <w:rsid w:val="00312039"/>
    <w:rsid w:val="00312677"/>
    <w:rsid w:val="00313725"/>
    <w:rsid w:val="00314237"/>
    <w:rsid w:val="00314341"/>
    <w:rsid w:val="00315067"/>
    <w:rsid w:val="003152E9"/>
    <w:rsid w:val="0031584F"/>
    <w:rsid w:val="00315A79"/>
    <w:rsid w:val="00315EE5"/>
    <w:rsid w:val="00320F9A"/>
    <w:rsid w:val="00321BD8"/>
    <w:rsid w:val="003220AC"/>
    <w:rsid w:val="003241C4"/>
    <w:rsid w:val="003246A1"/>
    <w:rsid w:val="00324A60"/>
    <w:rsid w:val="00325139"/>
    <w:rsid w:val="003277D5"/>
    <w:rsid w:val="00330121"/>
    <w:rsid w:val="0033149D"/>
    <w:rsid w:val="00331B12"/>
    <w:rsid w:val="00331C8F"/>
    <w:rsid w:val="00332084"/>
    <w:rsid w:val="00333122"/>
    <w:rsid w:val="003333F2"/>
    <w:rsid w:val="003349F0"/>
    <w:rsid w:val="0033563C"/>
    <w:rsid w:val="00336302"/>
    <w:rsid w:val="00336FD8"/>
    <w:rsid w:val="0033742B"/>
    <w:rsid w:val="0034068D"/>
    <w:rsid w:val="00341058"/>
    <w:rsid w:val="00342A78"/>
    <w:rsid w:val="00342CE2"/>
    <w:rsid w:val="00342E5C"/>
    <w:rsid w:val="00343347"/>
    <w:rsid w:val="003443BF"/>
    <w:rsid w:val="00344526"/>
    <w:rsid w:val="003445E2"/>
    <w:rsid w:val="00344DD2"/>
    <w:rsid w:val="00345110"/>
    <w:rsid w:val="0034650A"/>
    <w:rsid w:val="00347033"/>
    <w:rsid w:val="003507B4"/>
    <w:rsid w:val="003529D1"/>
    <w:rsid w:val="00352D41"/>
    <w:rsid w:val="00353EDC"/>
    <w:rsid w:val="00354C74"/>
    <w:rsid w:val="00354C80"/>
    <w:rsid w:val="00354FC4"/>
    <w:rsid w:val="00355095"/>
    <w:rsid w:val="003558C6"/>
    <w:rsid w:val="003568FA"/>
    <w:rsid w:val="00356CF9"/>
    <w:rsid w:val="003600DD"/>
    <w:rsid w:val="00360217"/>
    <w:rsid w:val="0036089B"/>
    <w:rsid w:val="003608E1"/>
    <w:rsid w:val="00360B2D"/>
    <w:rsid w:val="0036100A"/>
    <w:rsid w:val="00361D0F"/>
    <w:rsid w:val="00362A3A"/>
    <w:rsid w:val="003654AE"/>
    <w:rsid w:val="00367055"/>
    <w:rsid w:val="0037057F"/>
    <w:rsid w:val="003710BA"/>
    <w:rsid w:val="0037280C"/>
    <w:rsid w:val="00372850"/>
    <w:rsid w:val="00373651"/>
    <w:rsid w:val="00374741"/>
    <w:rsid w:val="00374FD5"/>
    <w:rsid w:val="003762A0"/>
    <w:rsid w:val="0037780C"/>
    <w:rsid w:val="003802F8"/>
    <w:rsid w:val="003807E5"/>
    <w:rsid w:val="00380D3D"/>
    <w:rsid w:val="00381544"/>
    <w:rsid w:val="00381854"/>
    <w:rsid w:val="0038193C"/>
    <w:rsid w:val="003822A1"/>
    <w:rsid w:val="00382585"/>
    <w:rsid w:val="00382BCB"/>
    <w:rsid w:val="0038302B"/>
    <w:rsid w:val="00383C3E"/>
    <w:rsid w:val="00384010"/>
    <w:rsid w:val="0038470D"/>
    <w:rsid w:val="00384E4A"/>
    <w:rsid w:val="00385044"/>
    <w:rsid w:val="00386F13"/>
    <w:rsid w:val="0039044B"/>
    <w:rsid w:val="00390A84"/>
    <w:rsid w:val="00392337"/>
    <w:rsid w:val="00392E5B"/>
    <w:rsid w:val="00395F8C"/>
    <w:rsid w:val="0039647E"/>
    <w:rsid w:val="003968B2"/>
    <w:rsid w:val="00397A0B"/>
    <w:rsid w:val="003A0394"/>
    <w:rsid w:val="003A0398"/>
    <w:rsid w:val="003A0404"/>
    <w:rsid w:val="003A05EC"/>
    <w:rsid w:val="003A0E72"/>
    <w:rsid w:val="003A20DC"/>
    <w:rsid w:val="003A2C90"/>
    <w:rsid w:val="003A3482"/>
    <w:rsid w:val="003A478A"/>
    <w:rsid w:val="003A489D"/>
    <w:rsid w:val="003A5B35"/>
    <w:rsid w:val="003A7A35"/>
    <w:rsid w:val="003B01BF"/>
    <w:rsid w:val="003B05F2"/>
    <w:rsid w:val="003B3434"/>
    <w:rsid w:val="003B447B"/>
    <w:rsid w:val="003B46EF"/>
    <w:rsid w:val="003B4744"/>
    <w:rsid w:val="003B5C23"/>
    <w:rsid w:val="003B5F98"/>
    <w:rsid w:val="003B61DC"/>
    <w:rsid w:val="003B7C53"/>
    <w:rsid w:val="003C1A3E"/>
    <w:rsid w:val="003C2579"/>
    <w:rsid w:val="003C45F5"/>
    <w:rsid w:val="003C4709"/>
    <w:rsid w:val="003C5FCF"/>
    <w:rsid w:val="003C6B67"/>
    <w:rsid w:val="003D183A"/>
    <w:rsid w:val="003D29E1"/>
    <w:rsid w:val="003D2A3B"/>
    <w:rsid w:val="003D2C14"/>
    <w:rsid w:val="003D3964"/>
    <w:rsid w:val="003D3C6E"/>
    <w:rsid w:val="003D4AF1"/>
    <w:rsid w:val="003D519F"/>
    <w:rsid w:val="003D535F"/>
    <w:rsid w:val="003D56F3"/>
    <w:rsid w:val="003D5B19"/>
    <w:rsid w:val="003D6575"/>
    <w:rsid w:val="003D67D5"/>
    <w:rsid w:val="003D7BA7"/>
    <w:rsid w:val="003E223B"/>
    <w:rsid w:val="003E2BEB"/>
    <w:rsid w:val="003E30DD"/>
    <w:rsid w:val="003E4D4B"/>
    <w:rsid w:val="003E73B2"/>
    <w:rsid w:val="003E766A"/>
    <w:rsid w:val="003F1CC0"/>
    <w:rsid w:val="003F21F2"/>
    <w:rsid w:val="003F2529"/>
    <w:rsid w:val="003F3C5A"/>
    <w:rsid w:val="003F4202"/>
    <w:rsid w:val="003F4F64"/>
    <w:rsid w:val="003F50B3"/>
    <w:rsid w:val="003F74FB"/>
    <w:rsid w:val="003F7996"/>
    <w:rsid w:val="00400C4F"/>
    <w:rsid w:val="0040191D"/>
    <w:rsid w:val="00401950"/>
    <w:rsid w:val="004019AD"/>
    <w:rsid w:val="00401A2E"/>
    <w:rsid w:val="004024F2"/>
    <w:rsid w:val="0040479F"/>
    <w:rsid w:val="00404C27"/>
    <w:rsid w:val="00404E72"/>
    <w:rsid w:val="00405059"/>
    <w:rsid w:val="00406500"/>
    <w:rsid w:val="004108D9"/>
    <w:rsid w:val="00411088"/>
    <w:rsid w:val="00411EAB"/>
    <w:rsid w:val="0041222D"/>
    <w:rsid w:val="004122EB"/>
    <w:rsid w:val="004139C1"/>
    <w:rsid w:val="00413A22"/>
    <w:rsid w:val="00414073"/>
    <w:rsid w:val="00414F57"/>
    <w:rsid w:val="0041545C"/>
    <w:rsid w:val="00415B61"/>
    <w:rsid w:val="00415D51"/>
    <w:rsid w:val="00416069"/>
    <w:rsid w:val="004160D6"/>
    <w:rsid w:val="0041747B"/>
    <w:rsid w:val="00420F06"/>
    <w:rsid w:val="0042232F"/>
    <w:rsid w:val="0042235E"/>
    <w:rsid w:val="004239E1"/>
    <w:rsid w:val="004258AF"/>
    <w:rsid w:val="00427749"/>
    <w:rsid w:val="00427A8A"/>
    <w:rsid w:val="00427CDA"/>
    <w:rsid w:val="00427D20"/>
    <w:rsid w:val="00430198"/>
    <w:rsid w:val="004301DC"/>
    <w:rsid w:val="00430B5B"/>
    <w:rsid w:val="00431F3A"/>
    <w:rsid w:val="004324B5"/>
    <w:rsid w:val="00432586"/>
    <w:rsid w:val="00434834"/>
    <w:rsid w:val="00434F8D"/>
    <w:rsid w:val="00435136"/>
    <w:rsid w:val="0043547C"/>
    <w:rsid w:val="004357ED"/>
    <w:rsid w:val="00435B50"/>
    <w:rsid w:val="00437710"/>
    <w:rsid w:val="00440D5F"/>
    <w:rsid w:val="00441675"/>
    <w:rsid w:val="00441C49"/>
    <w:rsid w:val="0044218C"/>
    <w:rsid w:val="00444263"/>
    <w:rsid w:val="004452F0"/>
    <w:rsid w:val="004461F7"/>
    <w:rsid w:val="00446A0E"/>
    <w:rsid w:val="00446C81"/>
    <w:rsid w:val="004474FF"/>
    <w:rsid w:val="00450035"/>
    <w:rsid w:val="00450249"/>
    <w:rsid w:val="004506D3"/>
    <w:rsid w:val="00450A76"/>
    <w:rsid w:val="00450C6C"/>
    <w:rsid w:val="0045296B"/>
    <w:rsid w:val="0045334E"/>
    <w:rsid w:val="00453A4B"/>
    <w:rsid w:val="00456BD3"/>
    <w:rsid w:val="00460EE7"/>
    <w:rsid w:val="0046115B"/>
    <w:rsid w:val="004611F7"/>
    <w:rsid w:val="00461790"/>
    <w:rsid w:val="00461886"/>
    <w:rsid w:val="004620F3"/>
    <w:rsid w:val="00462D55"/>
    <w:rsid w:val="00464BE1"/>
    <w:rsid w:val="00466C82"/>
    <w:rsid w:val="00466CB7"/>
    <w:rsid w:val="00466D49"/>
    <w:rsid w:val="00466ED0"/>
    <w:rsid w:val="004670A1"/>
    <w:rsid w:val="00467B85"/>
    <w:rsid w:val="00470752"/>
    <w:rsid w:val="004713BA"/>
    <w:rsid w:val="00471C5F"/>
    <w:rsid w:val="0047240C"/>
    <w:rsid w:val="0047368C"/>
    <w:rsid w:val="00473E3F"/>
    <w:rsid w:val="00474731"/>
    <w:rsid w:val="00474A9B"/>
    <w:rsid w:val="00474EE2"/>
    <w:rsid w:val="00475BE2"/>
    <w:rsid w:val="00475FB4"/>
    <w:rsid w:val="00477203"/>
    <w:rsid w:val="00477A07"/>
    <w:rsid w:val="00477A5F"/>
    <w:rsid w:val="00477CB1"/>
    <w:rsid w:val="00480B6D"/>
    <w:rsid w:val="004833B1"/>
    <w:rsid w:val="0048567F"/>
    <w:rsid w:val="00485FCD"/>
    <w:rsid w:val="004879F3"/>
    <w:rsid w:val="00487C81"/>
    <w:rsid w:val="00487DED"/>
    <w:rsid w:val="00491EBD"/>
    <w:rsid w:val="00492199"/>
    <w:rsid w:val="00494156"/>
    <w:rsid w:val="00494337"/>
    <w:rsid w:val="00495DDE"/>
    <w:rsid w:val="00496D74"/>
    <w:rsid w:val="00497731"/>
    <w:rsid w:val="004977F9"/>
    <w:rsid w:val="00497AA8"/>
    <w:rsid w:val="00497DE2"/>
    <w:rsid w:val="004A1B96"/>
    <w:rsid w:val="004A1CF3"/>
    <w:rsid w:val="004A2B48"/>
    <w:rsid w:val="004A2CE4"/>
    <w:rsid w:val="004A37B4"/>
    <w:rsid w:val="004A575A"/>
    <w:rsid w:val="004A660C"/>
    <w:rsid w:val="004A6676"/>
    <w:rsid w:val="004A680D"/>
    <w:rsid w:val="004A6CFF"/>
    <w:rsid w:val="004A70C4"/>
    <w:rsid w:val="004B03ED"/>
    <w:rsid w:val="004B1386"/>
    <w:rsid w:val="004B2197"/>
    <w:rsid w:val="004B28D7"/>
    <w:rsid w:val="004B2A06"/>
    <w:rsid w:val="004B2C21"/>
    <w:rsid w:val="004B34E8"/>
    <w:rsid w:val="004B5402"/>
    <w:rsid w:val="004B573B"/>
    <w:rsid w:val="004B6651"/>
    <w:rsid w:val="004B69C4"/>
    <w:rsid w:val="004B793C"/>
    <w:rsid w:val="004B7FE2"/>
    <w:rsid w:val="004C1BF7"/>
    <w:rsid w:val="004C206A"/>
    <w:rsid w:val="004C3096"/>
    <w:rsid w:val="004C3691"/>
    <w:rsid w:val="004C3C3C"/>
    <w:rsid w:val="004C5839"/>
    <w:rsid w:val="004D052A"/>
    <w:rsid w:val="004D1C69"/>
    <w:rsid w:val="004D3797"/>
    <w:rsid w:val="004D396B"/>
    <w:rsid w:val="004D65BB"/>
    <w:rsid w:val="004D6EA8"/>
    <w:rsid w:val="004D7982"/>
    <w:rsid w:val="004E1505"/>
    <w:rsid w:val="004E2A19"/>
    <w:rsid w:val="004E3C69"/>
    <w:rsid w:val="004E40C9"/>
    <w:rsid w:val="004E45EF"/>
    <w:rsid w:val="004E5A21"/>
    <w:rsid w:val="004E60F8"/>
    <w:rsid w:val="004E62D4"/>
    <w:rsid w:val="004E64F6"/>
    <w:rsid w:val="004E6BD6"/>
    <w:rsid w:val="004E78C7"/>
    <w:rsid w:val="004E7A55"/>
    <w:rsid w:val="004F079E"/>
    <w:rsid w:val="004F0D2E"/>
    <w:rsid w:val="004F14E8"/>
    <w:rsid w:val="004F1CFD"/>
    <w:rsid w:val="004F375C"/>
    <w:rsid w:val="004F3947"/>
    <w:rsid w:val="004F3985"/>
    <w:rsid w:val="004F3996"/>
    <w:rsid w:val="004F440B"/>
    <w:rsid w:val="004F48E7"/>
    <w:rsid w:val="004F5EF3"/>
    <w:rsid w:val="004F6BED"/>
    <w:rsid w:val="004F6C87"/>
    <w:rsid w:val="004F745C"/>
    <w:rsid w:val="00500340"/>
    <w:rsid w:val="005009D1"/>
    <w:rsid w:val="00500DC4"/>
    <w:rsid w:val="00500DD5"/>
    <w:rsid w:val="00501D5C"/>
    <w:rsid w:val="00501E0E"/>
    <w:rsid w:val="0050210B"/>
    <w:rsid w:val="00502FD8"/>
    <w:rsid w:val="00503DAF"/>
    <w:rsid w:val="00503FF3"/>
    <w:rsid w:val="00504E44"/>
    <w:rsid w:val="005061BE"/>
    <w:rsid w:val="00507AD9"/>
    <w:rsid w:val="005109A5"/>
    <w:rsid w:val="00510E75"/>
    <w:rsid w:val="00512B8C"/>
    <w:rsid w:val="00512C56"/>
    <w:rsid w:val="0051353C"/>
    <w:rsid w:val="005142AB"/>
    <w:rsid w:val="005144A4"/>
    <w:rsid w:val="00514812"/>
    <w:rsid w:val="005160FE"/>
    <w:rsid w:val="00517CEC"/>
    <w:rsid w:val="0052039F"/>
    <w:rsid w:val="00521918"/>
    <w:rsid w:val="00523484"/>
    <w:rsid w:val="005235C2"/>
    <w:rsid w:val="00523F1B"/>
    <w:rsid w:val="0052439F"/>
    <w:rsid w:val="00525536"/>
    <w:rsid w:val="00525D6C"/>
    <w:rsid w:val="005264D7"/>
    <w:rsid w:val="00532BC5"/>
    <w:rsid w:val="00533A86"/>
    <w:rsid w:val="005345E0"/>
    <w:rsid w:val="0053471D"/>
    <w:rsid w:val="00534804"/>
    <w:rsid w:val="00535197"/>
    <w:rsid w:val="0053626B"/>
    <w:rsid w:val="0053685C"/>
    <w:rsid w:val="005376C4"/>
    <w:rsid w:val="00540940"/>
    <w:rsid w:val="005424B1"/>
    <w:rsid w:val="005429B6"/>
    <w:rsid w:val="00542A33"/>
    <w:rsid w:val="00542C5D"/>
    <w:rsid w:val="00543371"/>
    <w:rsid w:val="00543B69"/>
    <w:rsid w:val="00546045"/>
    <w:rsid w:val="00547642"/>
    <w:rsid w:val="00547D24"/>
    <w:rsid w:val="00552E11"/>
    <w:rsid w:val="005538D1"/>
    <w:rsid w:val="0055586D"/>
    <w:rsid w:val="0055588E"/>
    <w:rsid w:val="00555F04"/>
    <w:rsid w:val="00560966"/>
    <w:rsid w:val="00561B9C"/>
    <w:rsid w:val="005622B9"/>
    <w:rsid w:val="00562A90"/>
    <w:rsid w:val="005636BB"/>
    <w:rsid w:val="00564BFC"/>
    <w:rsid w:val="00565391"/>
    <w:rsid w:val="00565C10"/>
    <w:rsid w:val="00565E70"/>
    <w:rsid w:val="005661B2"/>
    <w:rsid w:val="0056635E"/>
    <w:rsid w:val="005672CA"/>
    <w:rsid w:val="00567C1E"/>
    <w:rsid w:val="00567E6A"/>
    <w:rsid w:val="00567F03"/>
    <w:rsid w:val="005714AB"/>
    <w:rsid w:val="0057184C"/>
    <w:rsid w:val="005723B0"/>
    <w:rsid w:val="00572665"/>
    <w:rsid w:val="005733CB"/>
    <w:rsid w:val="005737A9"/>
    <w:rsid w:val="00574197"/>
    <w:rsid w:val="00574962"/>
    <w:rsid w:val="0057503B"/>
    <w:rsid w:val="0057550B"/>
    <w:rsid w:val="00576672"/>
    <w:rsid w:val="00576D12"/>
    <w:rsid w:val="005803A0"/>
    <w:rsid w:val="00582087"/>
    <w:rsid w:val="005820DA"/>
    <w:rsid w:val="005826CE"/>
    <w:rsid w:val="00582CC0"/>
    <w:rsid w:val="005839E4"/>
    <w:rsid w:val="00583EC5"/>
    <w:rsid w:val="00584535"/>
    <w:rsid w:val="005849EF"/>
    <w:rsid w:val="00584AAC"/>
    <w:rsid w:val="00584D74"/>
    <w:rsid w:val="00584F34"/>
    <w:rsid w:val="0058560A"/>
    <w:rsid w:val="00586511"/>
    <w:rsid w:val="00586B7B"/>
    <w:rsid w:val="00587113"/>
    <w:rsid w:val="00590A63"/>
    <w:rsid w:val="00591210"/>
    <w:rsid w:val="00592479"/>
    <w:rsid w:val="00592740"/>
    <w:rsid w:val="00594B5E"/>
    <w:rsid w:val="00594B6F"/>
    <w:rsid w:val="00595A5C"/>
    <w:rsid w:val="00596ACF"/>
    <w:rsid w:val="00597330"/>
    <w:rsid w:val="005A1CEE"/>
    <w:rsid w:val="005A2243"/>
    <w:rsid w:val="005A2567"/>
    <w:rsid w:val="005A34C0"/>
    <w:rsid w:val="005A417C"/>
    <w:rsid w:val="005A6D06"/>
    <w:rsid w:val="005A6D21"/>
    <w:rsid w:val="005B0032"/>
    <w:rsid w:val="005B0197"/>
    <w:rsid w:val="005B0754"/>
    <w:rsid w:val="005B160D"/>
    <w:rsid w:val="005B2013"/>
    <w:rsid w:val="005B254B"/>
    <w:rsid w:val="005B3404"/>
    <w:rsid w:val="005B359C"/>
    <w:rsid w:val="005B3EA2"/>
    <w:rsid w:val="005B4FF4"/>
    <w:rsid w:val="005B64AA"/>
    <w:rsid w:val="005B6766"/>
    <w:rsid w:val="005B6829"/>
    <w:rsid w:val="005C057A"/>
    <w:rsid w:val="005C06D9"/>
    <w:rsid w:val="005C0BD4"/>
    <w:rsid w:val="005C2F6F"/>
    <w:rsid w:val="005C3483"/>
    <w:rsid w:val="005C40E2"/>
    <w:rsid w:val="005C485C"/>
    <w:rsid w:val="005C48E8"/>
    <w:rsid w:val="005C5556"/>
    <w:rsid w:val="005C5F1A"/>
    <w:rsid w:val="005C6016"/>
    <w:rsid w:val="005C639C"/>
    <w:rsid w:val="005C6961"/>
    <w:rsid w:val="005D01F6"/>
    <w:rsid w:val="005D08A2"/>
    <w:rsid w:val="005D0CAD"/>
    <w:rsid w:val="005D1247"/>
    <w:rsid w:val="005D31A0"/>
    <w:rsid w:val="005D3E9C"/>
    <w:rsid w:val="005D49F2"/>
    <w:rsid w:val="005D522E"/>
    <w:rsid w:val="005D53CF"/>
    <w:rsid w:val="005D617C"/>
    <w:rsid w:val="005D6C89"/>
    <w:rsid w:val="005D7D13"/>
    <w:rsid w:val="005E08AA"/>
    <w:rsid w:val="005E2049"/>
    <w:rsid w:val="005E2395"/>
    <w:rsid w:val="005E2F05"/>
    <w:rsid w:val="005E2F3B"/>
    <w:rsid w:val="005E4560"/>
    <w:rsid w:val="005E4CDA"/>
    <w:rsid w:val="005E554F"/>
    <w:rsid w:val="005E564B"/>
    <w:rsid w:val="005E58A5"/>
    <w:rsid w:val="005E5E3C"/>
    <w:rsid w:val="005E76B3"/>
    <w:rsid w:val="005E7901"/>
    <w:rsid w:val="005E79CB"/>
    <w:rsid w:val="005E7B87"/>
    <w:rsid w:val="005F1033"/>
    <w:rsid w:val="005F254E"/>
    <w:rsid w:val="005F54F3"/>
    <w:rsid w:val="005F72EB"/>
    <w:rsid w:val="00600478"/>
    <w:rsid w:val="006010AD"/>
    <w:rsid w:val="00601E8C"/>
    <w:rsid w:val="0060339E"/>
    <w:rsid w:val="006035B4"/>
    <w:rsid w:val="00604675"/>
    <w:rsid w:val="00604FC3"/>
    <w:rsid w:val="00605AFA"/>
    <w:rsid w:val="006067FD"/>
    <w:rsid w:val="00607C2A"/>
    <w:rsid w:val="00610659"/>
    <w:rsid w:val="006108A7"/>
    <w:rsid w:val="0061145C"/>
    <w:rsid w:val="00611DF8"/>
    <w:rsid w:val="00612678"/>
    <w:rsid w:val="0061296C"/>
    <w:rsid w:val="0061398E"/>
    <w:rsid w:val="0061475C"/>
    <w:rsid w:val="00615C15"/>
    <w:rsid w:val="00616BFD"/>
    <w:rsid w:val="00616E70"/>
    <w:rsid w:val="006171A4"/>
    <w:rsid w:val="00617869"/>
    <w:rsid w:val="006200A5"/>
    <w:rsid w:val="006208BB"/>
    <w:rsid w:val="00621008"/>
    <w:rsid w:val="00621152"/>
    <w:rsid w:val="00621619"/>
    <w:rsid w:val="00621E5F"/>
    <w:rsid w:val="00621F24"/>
    <w:rsid w:val="0062218A"/>
    <w:rsid w:val="006232E0"/>
    <w:rsid w:val="00623B43"/>
    <w:rsid w:val="00623BDE"/>
    <w:rsid w:val="00623CA1"/>
    <w:rsid w:val="0062595B"/>
    <w:rsid w:val="00625BDA"/>
    <w:rsid w:val="00627143"/>
    <w:rsid w:val="006275FF"/>
    <w:rsid w:val="00627E05"/>
    <w:rsid w:val="00631F7D"/>
    <w:rsid w:val="00632C18"/>
    <w:rsid w:val="00632D74"/>
    <w:rsid w:val="006332D7"/>
    <w:rsid w:val="00633E18"/>
    <w:rsid w:val="00634C33"/>
    <w:rsid w:val="006402F8"/>
    <w:rsid w:val="00640B86"/>
    <w:rsid w:val="006416EC"/>
    <w:rsid w:val="0064174A"/>
    <w:rsid w:val="00641ADD"/>
    <w:rsid w:val="00641EDF"/>
    <w:rsid w:val="00642488"/>
    <w:rsid w:val="00642A2F"/>
    <w:rsid w:val="00642D70"/>
    <w:rsid w:val="0064453F"/>
    <w:rsid w:val="00645095"/>
    <w:rsid w:val="0064512C"/>
    <w:rsid w:val="00647F84"/>
    <w:rsid w:val="00650264"/>
    <w:rsid w:val="006507C8"/>
    <w:rsid w:val="006518BB"/>
    <w:rsid w:val="00652DD8"/>
    <w:rsid w:val="006544AA"/>
    <w:rsid w:val="00655012"/>
    <w:rsid w:val="006553A4"/>
    <w:rsid w:val="00655411"/>
    <w:rsid w:val="0065766C"/>
    <w:rsid w:val="006600FA"/>
    <w:rsid w:val="00660CB3"/>
    <w:rsid w:val="0066108E"/>
    <w:rsid w:val="00661A87"/>
    <w:rsid w:val="00663907"/>
    <w:rsid w:val="00664679"/>
    <w:rsid w:val="006648B9"/>
    <w:rsid w:val="00664B27"/>
    <w:rsid w:val="00664CF2"/>
    <w:rsid w:val="006651DD"/>
    <w:rsid w:val="0066561C"/>
    <w:rsid w:val="00665C75"/>
    <w:rsid w:val="00666D09"/>
    <w:rsid w:val="006671D8"/>
    <w:rsid w:val="00671512"/>
    <w:rsid w:val="00672B1A"/>
    <w:rsid w:val="00672F17"/>
    <w:rsid w:val="00672F27"/>
    <w:rsid w:val="006762F6"/>
    <w:rsid w:val="00676881"/>
    <w:rsid w:val="00677382"/>
    <w:rsid w:val="006811BF"/>
    <w:rsid w:val="00681BF1"/>
    <w:rsid w:val="006822D0"/>
    <w:rsid w:val="00682CF0"/>
    <w:rsid w:val="006835C9"/>
    <w:rsid w:val="00683A35"/>
    <w:rsid w:val="00683DC5"/>
    <w:rsid w:val="00683F71"/>
    <w:rsid w:val="00684CA5"/>
    <w:rsid w:val="0068561C"/>
    <w:rsid w:val="00685892"/>
    <w:rsid w:val="006866AB"/>
    <w:rsid w:val="00686AD0"/>
    <w:rsid w:val="0068747E"/>
    <w:rsid w:val="006876CB"/>
    <w:rsid w:val="0069075D"/>
    <w:rsid w:val="00690E92"/>
    <w:rsid w:val="006912FC"/>
    <w:rsid w:val="0069150C"/>
    <w:rsid w:val="00694D2E"/>
    <w:rsid w:val="00694FAD"/>
    <w:rsid w:val="00696A93"/>
    <w:rsid w:val="006A08C1"/>
    <w:rsid w:val="006A31E8"/>
    <w:rsid w:val="006A3A9E"/>
    <w:rsid w:val="006A6C1E"/>
    <w:rsid w:val="006A7228"/>
    <w:rsid w:val="006A7D54"/>
    <w:rsid w:val="006A7EE7"/>
    <w:rsid w:val="006B076D"/>
    <w:rsid w:val="006B0777"/>
    <w:rsid w:val="006B0C5D"/>
    <w:rsid w:val="006B0D9A"/>
    <w:rsid w:val="006B1C8A"/>
    <w:rsid w:val="006B1D0A"/>
    <w:rsid w:val="006B1E88"/>
    <w:rsid w:val="006B2101"/>
    <w:rsid w:val="006B23BB"/>
    <w:rsid w:val="006B259D"/>
    <w:rsid w:val="006B46AD"/>
    <w:rsid w:val="006B6C95"/>
    <w:rsid w:val="006B7CB0"/>
    <w:rsid w:val="006C071B"/>
    <w:rsid w:val="006C1332"/>
    <w:rsid w:val="006C2231"/>
    <w:rsid w:val="006C2C2E"/>
    <w:rsid w:val="006C2D5A"/>
    <w:rsid w:val="006C446A"/>
    <w:rsid w:val="006C458A"/>
    <w:rsid w:val="006C6602"/>
    <w:rsid w:val="006C6BB6"/>
    <w:rsid w:val="006C6F45"/>
    <w:rsid w:val="006C765D"/>
    <w:rsid w:val="006C7E60"/>
    <w:rsid w:val="006D0557"/>
    <w:rsid w:val="006D0679"/>
    <w:rsid w:val="006D5556"/>
    <w:rsid w:val="006D5B26"/>
    <w:rsid w:val="006D6ABF"/>
    <w:rsid w:val="006D7FCA"/>
    <w:rsid w:val="006E079A"/>
    <w:rsid w:val="006E09F8"/>
    <w:rsid w:val="006E1740"/>
    <w:rsid w:val="006E1F2D"/>
    <w:rsid w:val="006E5096"/>
    <w:rsid w:val="006E56C8"/>
    <w:rsid w:val="006E60B1"/>
    <w:rsid w:val="006E617D"/>
    <w:rsid w:val="006E621B"/>
    <w:rsid w:val="006E6C0C"/>
    <w:rsid w:val="006F3ED4"/>
    <w:rsid w:val="006F5518"/>
    <w:rsid w:val="006F623C"/>
    <w:rsid w:val="00700B29"/>
    <w:rsid w:val="00702C44"/>
    <w:rsid w:val="007033FE"/>
    <w:rsid w:val="00703BB8"/>
    <w:rsid w:val="007041DD"/>
    <w:rsid w:val="007045A8"/>
    <w:rsid w:val="00704EF8"/>
    <w:rsid w:val="00704F36"/>
    <w:rsid w:val="00705470"/>
    <w:rsid w:val="00705D63"/>
    <w:rsid w:val="00705E10"/>
    <w:rsid w:val="0070622D"/>
    <w:rsid w:val="007063F4"/>
    <w:rsid w:val="00706B55"/>
    <w:rsid w:val="00706DE1"/>
    <w:rsid w:val="00711536"/>
    <w:rsid w:val="00712016"/>
    <w:rsid w:val="00712219"/>
    <w:rsid w:val="007129DB"/>
    <w:rsid w:val="00712C48"/>
    <w:rsid w:val="0071384C"/>
    <w:rsid w:val="007139ED"/>
    <w:rsid w:val="00713B4C"/>
    <w:rsid w:val="007157F3"/>
    <w:rsid w:val="00715A09"/>
    <w:rsid w:val="00716AB1"/>
    <w:rsid w:val="00716BDE"/>
    <w:rsid w:val="00716D3B"/>
    <w:rsid w:val="00720106"/>
    <w:rsid w:val="007213AF"/>
    <w:rsid w:val="007215B0"/>
    <w:rsid w:val="00721BD6"/>
    <w:rsid w:val="00721D0C"/>
    <w:rsid w:val="007228D0"/>
    <w:rsid w:val="00722922"/>
    <w:rsid w:val="00723269"/>
    <w:rsid w:val="00723652"/>
    <w:rsid w:val="00723935"/>
    <w:rsid w:val="0072406F"/>
    <w:rsid w:val="00724168"/>
    <w:rsid w:val="00724682"/>
    <w:rsid w:val="00725287"/>
    <w:rsid w:val="00726C98"/>
    <w:rsid w:val="00727259"/>
    <w:rsid w:val="00727519"/>
    <w:rsid w:val="007318A2"/>
    <w:rsid w:val="00733246"/>
    <w:rsid w:val="0073330D"/>
    <w:rsid w:val="00733349"/>
    <w:rsid w:val="00733377"/>
    <w:rsid w:val="00736687"/>
    <w:rsid w:val="00736A14"/>
    <w:rsid w:val="00740106"/>
    <w:rsid w:val="00741A53"/>
    <w:rsid w:val="007434A2"/>
    <w:rsid w:val="00743B09"/>
    <w:rsid w:val="00743E91"/>
    <w:rsid w:val="00744A27"/>
    <w:rsid w:val="007457F6"/>
    <w:rsid w:val="00747CC7"/>
    <w:rsid w:val="00750887"/>
    <w:rsid w:val="007510A6"/>
    <w:rsid w:val="00752B01"/>
    <w:rsid w:val="00752D75"/>
    <w:rsid w:val="00753ADC"/>
    <w:rsid w:val="00755E4A"/>
    <w:rsid w:val="00756BAC"/>
    <w:rsid w:val="00756C72"/>
    <w:rsid w:val="007570DA"/>
    <w:rsid w:val="00760341"/>
    <w:rsid w:val="0076058A"/>
    <w:rsid w:val="00760F4D"/>
    <w:rsid w:val="00761499"/>
    <w:rsid w:val="007618D4"/>
    <w:rsid w:val="0076196A"/>
    <w:rsid w:val="00761C13"/>
    <w:rsid w:val="007620D9"/>
    <w:rsid w:val="00763944"/>
    <w:rsid w:val="0076417A"/>
    <w:rsid w:val="007656CF"/>
    <w:rsid w:val="0076607B"/>
    <w:rsid w:val="007669C6"/>
    <w:rsid w:val="007672C8"/>
    <w:rsid w:val="007677AF"/>
    <w:rsid w:val="007700CA"/>
    <w:rsid w:val="0077052F"/>
    <w:rsid w:val="00770E4A"/>
    <w:rsid w:val="00772540"/>
    <w:rsid w:val="00773A8C"/>
    <w:rsid w:val="007743D9"/>
    <w:rsid w:val="00774C70"/>
    <w:rsid w:val="00775829"/>
    <w:rsid w:val="007762D7"/>
    <w:rsid w:val="007764A3"/>
    <w:rsid w:val="0077785F"/>
    <w:rsid w:val="0078062B"/>
    <w:rsid w:val="00781B49"/>
    <w:rsid w:val="00784F90"/>
    <w:rsid w:val="00786732"/>
    <w:rsid w:val="0079176C"/>
    <w:rsid w:val="007923CF"/>
    <w:rsid w:val="00792AAC"/>
    <w:rsid w:val="00793617"/>
    <w:rsid w:val="00793B03"/>
    <w:rsid w:val="00794030"/>
    <w:rsid w:val="00794512"/>
    <w:rsid w:val="007967ED"/>
    <w:rsid w:val="00796AF8"/>
    <w:rsid w:val="00797418"/>
    <w:rsid w:val="00797940"/>
    <w:rsid w:val="007A037F"/>
    <w:rsid w:val="007A0862"/>
    <w:rsid w:val="007A3DEA"/>
    <w:rsid w:val="007A5215"/>
    <w:rsid w:val="007A64E4"/>
    <w:rsid w:val="007A67D8"/>
    <w:rsid w:val="007B0200"/>
    <w:rsid w:val="007B0652"/>
    <w:rsid w:val="007B0E2E"/>
    <w:rsid w:val="007B118E"/>
    <w:rsid w:val="007B2632"/>
    <w:rsid w:val="007B3028"/>
    <w:rsid w:val="007B3FFB"/>
    <w:rsid w:val="007B4728"/>
    <w:rsid w:val="007B4903"/>
    <w:rsid w:val="007B5A34"/>
    <w:rsid w:val="007B699A"/>
    <w:rsid w:val="007C04F9"/>
    <w:rsid w:val="007C24F6"/>
    <w:rsid w:val="007C29BB"/>
    <w:rsid w:val="007C2DB1"/>
    <w:rsid w:val="007C3A1B"/>
    <w:rsid w:val="007C4158"/>
    <w:rsid w:val="007C46EC"/>
    <w:rsid w:val="007C58FB"/>
    <w:rsid w:val="007D068F"/>
    <w:rsid w:val="007D09B5"/>
    <w:rsid w:val="007D3DE2"/>
    <w:rsid w:val="007D4FE7"/>
    <w:rsid w:val="007D53B4"/>
    <w:rsid w:val="007D629D"/>
    <w:rsid w:val="007D76F3"/>
    <w:rsid w:val="007D7AFB"/>
    <w:rsid w:val="007D7FB3"/>
    <w:rsid w:val="007E073B"/>
    <w:rsid w:val="007E18CF"/>
    <w:rsid w:val="007E23F6"/>
    <w:rsid w:val="007E3D5D"/>
    <w:rsid w:val="007E5339"/>
    <w:rsid w:val="007E6B4B"/>
    <w:rsid w:val="007E7236"/>
    <w:rsid w:val="007E7D52"/>
    <w:rsid w:val="007F0646"/>
    <w:rsid w:val="007F08C7"/>
    <w:rsid w:val="007F0BBD"/>
    <w:rsid w:val="007F19DC"/>
    <w:rsid w:val="007F2AFB"/>
    <w:rsid w:val="007F2E95"/>
    <w:rsid w:val="007F4F38"/>
    <w:rsid w:val="007F574E"/>
    <w:rsid w:val="007F7B18"/>
    <w:rsid w:val="0080029D"/>
    <w:rsid w:val="00801D78"/>
    <w:rsid w:val="00802473"/>
    <w:rsid w:val="008038FF"/>
    <w:rsid w:val="00804011"/>
    <w:rsid w:val="00805532"/>
    <w:rsid w:val="008078D8"/>
    <w:rsid w:val="008111B0"/>
    <w:rsid w:val="00813232"/>
    <w:rsid w:val="008145B9"/>
    <w:rsid w:val="008150ED"/>
    <w:rsid w:val="00815E8F"/>
    <w:rsid w:val="00817E1A"/>
    <w:rsid w:val="00820B8E"/>
    <w:rsid w:val="0082181A"/>
    <w:rsid w:val="00822BFE"/>
    <w:rsid w:val="0082301E"/>
    <w:rsid w:val="008231E0"/>
    <w:rsid w:val="008235A3"/>
    <w:rsid w:val="0082451F"/>
    <w:rsid w:val="008251CB"/>
    <w:rsid w:val="008265A0"/>
    <w:rsid w:val="00826950"/>
    <w:rsid w:val="00826A42"/>
    <w:rsid w:val="00826BC9"/>
    <w:rsid w:val="0083122C"/>
    <w:rsid w:val="00831A78"/>
    <w:rsid w:val="00833458"/>
    <w:rsid w:val="00833D7C"/>
    <w:rsid w:val="008342A9"/>
    <w:rsid w:val="00834C40"/>
    <w:rsid w:val="00835323"/>
    <w:rsid w:val="00835A3C"/>
    <w:rsid w:val="008361EA"/>
    <w:rsid w:val="00836607"/>
    <w:rsid w:val="0083713B"/>
    <w:rsid w:val="00837200"/>
    <w:rsid w:val="00840DD1"/>
    <w:rsid w:val="00841A8F"/>
    <w:rsid w:val="008427A9"/>
    <w:rsid w:val="00843A63"/>
    <w:rsid w:val="00843BA4"/>
    <w:rsid w:val="00843D97"/>
    <w:rsid w:val="00844575"/>
    <w:rsid w:val="008448BD"/>
    <w:rsid w:val="008455DA"/>
    <w:rsid w:val="00845E4E"/>
    <w:rsid w:val="008461F6"/>
    <w:rsid w:val="0084626E"/>
    <w:rsid w:val="00847CAA"/>
    <w:rsid w:val="00847E9D"/>
    <w:rsid w:val="0085066D"/>
    <w:rsid w:val="00851653"/>
    <w:rsid w:val="0085224F"/>
    <w:rsid w:val="008524D6"/>
    <w:rsid w:val="00854DE0"/>
    <w:rsid w:val="0085527F"/>
    <w:rsid w:val="008569AB"/>
    <w:rsid w:val="00857E28"/>
    <w:rsid w:val="0086029F"/>
    <w:rsid w:val="00860D9C"/>
    <w:rsid w:val="008647A0"/>
    <w:rsid w:val="00867388"/>
    <w:rsid w:val="00870725"/>
    <w:rsid w:val="00870ECD"/>
    <w:rsid w:val="00871566"/>
    <w:rsid w:val="00871E9E"/>
    <w:rsid w:val="00872DB3"/>
    <w:rsid w:val="00872EA2"/>
    <w:rsid w:val="008745EB"/>
    <w:rsid w:val="008746E6"/>
    <w:rsid w:val="00874AA8"/>
    <w:rsid w:val="00875ABF"/>
    <w:rsid w:val="00876AAD"/>
    <w:rsid w:val="0088214D"/>
    <w:rsid w:val="00882808"/>
    <w:rsid w:val="0088289A"/>
    <w:rsid w:val="00884A7B"/>
    <w:rsid w:val="008857EA"/>
    <w:rsid w:val="00885AC3"/>
    <w:rsid w:val="0088668D"/>
    <w:rsid w:val="00886D83"/>
    <w:rsid w:val="00887876"/>
    <w:rsid w:val="008879F3"/>
    <w:rsid w:val="00890B13"/>
    <w:rsid w:val="00890E38"/>
    <w:rsid w:val="008943D6"/>
    <w:rsid w:val="008957D1"/>
    <w:rsid w:val="008970B6"/>
    <w:rsid w:val="0089734F"/>
    <w:rsid w:val="008A1CA3"/>
    <w:rsid w:val="008A2E9F"/>
    <w:rsid w:val="008A3883"/>
    <w:rsid w:val="008A4114"/>
    <w:rsid w:val="008A5444"/>
    <w:rsid w:val="008A5AA7"/>
    <w:rsid w:val="008A63BC"/>
    <w:rsid w:val="008A6EFB"/>
    <w:rsid w:val="008A6F2B"/>
    <w:rsid w:val="008A7521"/>
    <w:rsid w:val="008A787E"/>
    <w:rsid w:val="008A78A1"/>
    <w:rsid w:val="008A7959"/>
    <w:rsid w:val="008B0376"/>
    <w:rsid w:val="008B03B4"/>
    <w:rsid w:val="008B05E1"/>
    <w:rsid w:val="008B13F5"/>
    <w:rsid w:val="008B1A02"/>
    <w:rsid w:val="008B2011"/>
    <w:rsid w:val="008B399D"/>
    <w:rsid w:val="008B6B51"/>
    <w:rsid w:val="008B703D"/>
    <w:rsid w:val="008B7B1B"/>
    <w:rsid w:val="008B7CFF"/>
    <w:rsid w:val="008B7F19"/>
    <w:rsid w:val="008B7F9D"/>
    <w:rsid w:val="008C011C"/>
    <w:rsid w:val="008C015C"/>
    <w:rsid w:val="008C0F66"/>
    <w:rsid w:val="008C1498"/>
    <w:rsid w:val="008C1620"/>
    <w:rsid w:val="008C18EB"/>
    <w:rsid w:val="008C2632"/>
    <w:rsid w:val="008C3F93"/>
    <w:rsid w:val="008C4448"/>
    <w:rsid w:val="008C5D0F"/>
    <w:rsid w:val="008C5F05"/>
    <w:rsid w:val="008C61E1"/>
    <w:rsid w:val="008C6872"/>
    <w:rsid w:val="008C6F72"/>
    <w:rsid w:val="008D0B93"/>
    <w:rsid w:val="008D1D13"/>
    <w:rsid w:val="008D2A1A"/>
    <w:rsid w:val="008D33DB"/>
    <w:rsid w:val="008D477A"/>
    <w:rsid w:val="008D4A64"/>
    <w:rsid w:val="008D5A80"/>
    <w:rsid w:val="008D5C13"/>
    <w:rsid w:val="008D74EC"/>
    <w:rsid w:val="008E0425"/>
    <w:rsid w:val="008E0489"/>
    <w:rsid w:val="008E0D1E"/>
    <w:rsid w:val="008E0D95"/>
    <w:rsid w:val="008E27B0"/>
    <w:rsid w:val="008E2B5C"/>
    <w:rsid w:val="008E2E9A"/>
    <w:rsid w:val="008E3F1A"/>
    <w:rsid w:val="008E4B23"/>
    <w:rsid w:val="008E5056"/>
    <w:rsid w:val="008E57FD"/>
    <w:rsid w:val="008E5BAF"/>
    <w:rsid w:val="008F161B"/>
    <w:rsid w:val="008F1B35"/>
    <w:rsid w:val="008F217C"/>
    <w:rsid w:val="008F3257"/>
    <w:rsid w:val="008F3466"/>
    <w:rsid w:val="008F34FC"/>
    <w:rsid w:val="008F3E7E"/>
    <w:rsid w:val="008F4E6F"/>
    <w:rsid w:val="008F71A3"/>
    <w:rsid w:val="008F7492"/>
    <w:rsid w:val="0090019B"/>
    <w:rsid w:val="009003D3"/>
    <w:rsid w:val="0090077B"/>
    <w:rsid w:val="00900815"/>
    <w:rsid w:val="00900A8A"/>
    <w:rsid w:val="00901226"/>
    <w:rsid w:val="009035F5"/>
    <w:rsid w:val="00903D3E"/>
    <w:rsid w:val="00903E55"/>
    <w:rsid w:val="0090495C"/>
    <w:rsid w:val="00905686"/>
    <w:rsid w:val="00906331"/>
    <w:rsid w:val="0090641F"/>
    <w:rsid w:val="00906A49"/>
    <w:rsid w:val="0091074F"/>
    <w:rsid w:val="00910E8E"/>
    <w:rsid w:val="00911249"/>
    <w:rsid w:val="00911460"/>
    <w:rsid w:val="00913DE2"/>
    <w:rsid w:val="0091454B"/>
    <w:rsid w:val="0091459A"/>
    <w:rsid w:val="00916297"/>
    <w:rsid w:val="0091662A"/>
    <w:rsid w:val="00916CE3"/>
    <w:rsid w:val="00916F70"/>
    <w:rsid w:val="00917538"/>
    <w:rsid w:val="00917A6B"/>
    <w:rsid w:val="009204E7"/>
    <w:rsid w:val="00920E18"/>
    <w:rsid w:val="00921585"/>
    <w:rsid w:val="00921728"/>
    <w:rsid w:val="009225A0"/>
    <w:rsid w:val="00923E0D"/>
    <w:rsid w:val="009240E1"/>
    <w:rsid w:val="00924408"/>
    <w:rsid w:val="009244BC"/>
    <w:rsid w:val="009247D2"/>
    <w:rsid w:val="009251AA"/>
    <w:rsid w:val="0092556E"/>
    <w:rsid w:val="009258E7"/>
    <w:rsid w:val="00927174"/>
    <w:rsid w:val="009276D6"/>
    <w:rsid w:val="00931B7D"/>
    <w:rsid w:val="00933827"/>
    <w:rsid w:val="00933B38"/>
    <w:rsid w:val="00934B77"/>
    <w:rsid w:val="009360C8"/>
    <w:rsid w:val="009371D7"/>
    <w:rsid w:val="009407EB"/>
    <w:rsid w:val="00941BD4"/>
    <w:rsid w:val="0094209E"/>
    <w:rsid w:val="009424E4"/>
    <w:rsid w:val="009453E6"/>
    <w:rsid w:val="00945AEB"/>
    <w:rsid w:val="0094611A"/>
    <w:rsid w:val="009466E7"/>
    <w:rsid w:val="00947883"/>
    <w:rsid w:val="00947C73"/>
    <w:rsid w:val="00950D2F"/>
    <w:rsid w:val="00951AE3"/>
    <w:rsid w:val="00951DF6"/>
    <w:rsid w:val="00952EAC"/>
    <w:rsid w:val="009539FC"/>
    <w:rsid w:val="00954131"/>
    <w:rsid w:val="0095454F"/>
    <w:rsid w:val="00956501"/>
    <w:rsid w:val="00956B42"/>
    <w:rsid w:val="00957127"/>
    <w:rsid w:val="0096160F"/>
    <w:rsid w:val="00961F08"/>
    <w:rsid w:val="009627B9"/>
    <w:rsid w:val="009629AF"/>
    <w:rsid w:val="009629EE"/>
    <w:rsid w:val="00962DAB"/>
    <w:rsid w:val="00963439"/>
    <w:rsid w:val="00963CC0"/>
    <w:rsid w:val="00963E9B"/>
    <w:rsid w:val="009670DD"/>
    <w:rsid w:val="009673E0"/>
    <w:rsid w:val="00967C6F"/>
    <w:rsid w:val="00970A37"/>
    <w:rsid w:val="00970B3A"/>
    <w:rsid w:val="0097237A"/>
    <w:rsid w:val="00972657"/>
    <w:rsid w:val="00975E77"/>
    <w:rsid w:val="009763A4"/>
    <w:rsid w:val="009767A3"/>
    <w:rsid w:val="0097777C"/>
    <w:rsid w:val="00977DD7"/>
    <w:rsid w:val="009801D4"/>
    <w:rsid w:val="00983045"/>
    <w:rsid w:val="00985133"/>
    <w:rsid w:val="0098571F"/>
    <w:rsid w:val="0098582B"/>
    <w:rsid w:val="00985893"/>
    <w:rsid w:val="00987395"/>
    <w:rsid w:val="0099103B"/>
    <w:rsid w:val="009924CD"/>
    <w:rsid w:val="0099494C"/>
    <w:rsid w:val="00994E4F"/>
    <w:rsid w:val="00995CE9"/>
    <w:rsid w:val="00996FFB"/>
    <w:rsid w:val="009973B5"/>
    <w:rsid w:val="00997567"/>
    <w:rsid w:val="00997F04"/>
    <w:rsid w:val="009A282E"/>
    <w:rsid w:val="009A4B79"/>
    <w:rsid w:val="009A554C"/>
    <w:rsid w:val="009A56F3"/>
    <w:rsid w:val="009A59D9"/>
    <w:rsid w:val="009A7DE3"/>
    <w:rsid w:val="009A7FE0"/>
    <w:rsid w:val="009A7FF8"/>
    <w:rsid w:val="009B0273"/>
    <w:rsid w:val="009B0447"/>
    <w:rsid w:val="009B0E4F"/>
    <w:rsid w:val="009B2CB3"/>
    <w:rsid w:val="009B393E"/>
    <w:rsid w:val="009B3F9C"/>
    <w:rsid w:val="009B403E"/>
    <w:rsid w:val="009B4840"/>
    <w:rsid w:val="009B50C2"/>
    <w:rsid w:val="009B620A"/>
    <w:rsid w:val="009B76AB"/>
    <w:rsid w:val="009C08C8"/>
    <w:rsid w:val="009C0ED0"/>
    <w:rsid w:val="009C148D"/>
    <w:rsid w:val="009C34BB"/>
    <w:rsid w:val="009C3A4E"/>
    <w:rsid w:val="009C4A34"/>
    <w:rsid w:val="009C65EC"/>
    <w:rsid w:val="009C6C04"/>
    <w:rsid w:val="009C6CA5"/>
    <w:rsid w:val="009C6E02"/>
    <w:rsid w:val="009D0E0A"/>
    <w:rsid w:val="009D1B4D"/>
    <w:rsid w:val="009D3502"/>
    <w:rsid w:val="009D49E3"/>
    <w:rsid w:val="009D4E8F"/>
    <w:rsid w:val="009D6356"/>
    <w:rsid w:val="009D6EFB"/>
    <w:rsid w:val="009E0680"/>
    <w:rsid w:val="009E0A63"/>
    <w:rsid w:val="009E1E69"/>
    <w:rsid w:val="009E211D"/>
    <w:rsid w:val="009E3BAD"/>
    <w:rsid w:val="009E4B49"/>
    <w:rsid w:val="009E6270"/>
    <w:rsid w:val="009E67E6"/>
    <w:rsid w:val="009E6ECD"/>
    <w:rsid w:val="009E7644"/>
    <w:rsid w:val="009E78CF"/>
    <w:rsid w:val="009E7D0E"/>
    <w:rsid w:val="009E7D39"/>
    <w:rsid w:val="009F02D7"/>
    <w:rsid w:val="009F099A"/>
    <w:rsid w:val="009F0ABA"/>
    <w:rsid w:val="009F158E"/>
    <w:rsid w:val="009F31B5"/>
    <w:rsid w:val="009F3228"/>
    <w:rsid w:val="009F3A3B"/>
    <w:rsid w:val="009F3E9B"/>
    <w:rsid w:val="00A0187F"/>
    <w:rsid w:val="00A026D4"/>
    <w:rsid w:val="00A02989"/>
    <w:rsid w:val="00A02DD4"/>
    <w:rsid w:val="00A033E0"/>
    <w:rsid w:val="00A0354E"/>
    <w:rsid w:val="00A04D02"/>
    <w:rsid w:val="00A05FBD"/>
    <w:rsid w:val="00A05FE4"/>
    <w:rsid w:val="00A062D6"/>
    <w:rsid w:val="00A07124"/>
    <w:rsid w:val="00A07904"/>
    <w:rsid w:val="00A102F4"/>
    <w:rsid w:val="00A10342"/>
    <w:rsid w:val="00A11DC2"/>
    <w:rsid w:val="00A11F40"/>
    <w:rsid w:val="00A12478"/>
    <w:rsid w:val="00A12A02"/>
    <w:rsid w:val="00A1423C"/>
    <w:rsid w:val="00A143FE"/>
    <w:rsid w:val="00A146A5"/>
    <w:rsid w:val="00A14ACE"/>
    <w:rsid w:val="00A154DC"/>
    <w:rsid w:val="00A155FF"/>
    <w:rsid w:val="00A16102"/>
    <w:rsid w:val="00A1679F"/>
    <w:rsid w:val="00A16A7A"/>
    <w:rsid w:val="00A20062"/>
    <w:rsid w:val="00A205F1"/>
    <w:rsid w:val="00A20C80"/>
    <w:rsid w:val="00A21924"/>
    <w:rsid w:val="00A21C48"/>
    <w:rsid w:val="00A22DFC"/>
    <w:rsid w:val="00A2381C"/>
    <w:rsid w:val="00A24011"/>
    <w:rsid w:val="00A245E1"/>
    <w:rsid w:val="00A24982"/>
    <w:rsid w:val="00A251E3"/>
    <w:rsid w:val="00A2673E"/>
    <w:rsid w:val="00A268B1"/>
    <w:rsid w:val="00A269E1"/>
    <w:rsid w:val="00A270DA"/>
    <w:rsid w:val="00A27947"/>
    <w:rsid w:val="00A30415"/>
    <w:rsid w:val="00A30BBD"/>
    <w:rsid w:val="00A321B8"/>
    <w:rsid w:val="00A323BA"/>
    <w:rsid w:val="00A32B28"/>
    <w:rsid w:val="00A33170"/>
    <w:rsid w:val="00A3321D"/>
    <w:rsid w:val="00A34C12"/>
    <w:rsid w:val="00A34E94"/>
    <w:rsid w:val="00A34FAC"/>
    <w:rsid w:val="00A35654"/>
    <w:rsid w:val="00A357A3"/>
    <w:rsid w:val="00A37003"/>
    <w:rsid w:val="00A3756D"/>
    <w:rsid w:val="00A4105C"/>
    <w:rsid w:val="00A416BC"/>
    <w:rsid w:val="00A41848"/>
    <w:rsid w:val="00A42AE3"/>
    <w:rsid w:val="00A44FFF"/>
    <w:rsid w:val="00A45DB5"/>
    <w:rsid w:val="00A46FB0"/>
    <w:rsid w:val="00A501B6"/>
    <w:rsid w:val="00A51599"/>
    <w:rsid w:val="00A517CF"/>
    <w:rsid w:val="00A524B6"/>
    <w:rsid w:val="00A53FD6"/>
    <w:rsid w:val="00A54D9C"/>
    <w:rsid w:val="00A55AA0"/>
    <w:rsid w:val="00A56BCE"/>
    <w:rsid w:val="00A56FE0"/>
    <w:rsid w:val="00A5777F"/>
    <w:rsid w:val="00A57B35"/>
    <w:rsid w:val="00A600E3"/>
    <w:rsid w:val="00A6066B"/>
    <w:rsid w:val="00A60AAF"/>
    <w:rsid w:val="00A60EBC"/>
    <w:rsid w:val="00A6192A"/>
    <w:rsid w:val="00A628A5"/>
    <w:rsid w:val="00A631FC"/>
    <w:rsid w:val="00A640B0"/>
    <w:rsid w:val="00A6562A"/>
    <w:rsid w:val="00A66C33"/>
    <w:rsid w:val="00A66FA2"/>
    <w:rsid w:val="00A7073D"/>
    <w:rsid w:val="00A70C86"/>
    <w:rsid w:val="00A71F0B"/>
    <w:rsid w:val="00A72584"/>
    <w:rsid w:val="00A73051"/>
    <w:rsid w:val="00A7390F"/>
    <w:rsid w:val="00A73E98"/>
    <w:rsid w:val="00A74322"/>
    <w:rsid w:val="00A751A0"/>
    <w:rsid w:val="00A75F2A"/>
    <w:rsid w:val="00A75F5E"/>
    <w:rsid w:val="00A7685C"/>
    <w:rsid w:val="00A77D79"/>
    <w:rsid w:val="00A800F3"/>
    <w:rsid w:val="00A806CB"/>
    <w:rsid w:val="00A81692"/>
    <w:rsid w:val="00A81FAA"/>
    <w:rsid w:val="00A82FC8"/>
    <w:rsid w:val="00A839B3"/>
    <w:rsid w:val="00A83AB9"/>
    <w:rsid w:val="00A84CEC"/>
    <w:rsid w:val="00A8519D"/>
    <w:rsid w:val="00A853EB"/>
    <w:rsid w:val="00A9027D"/>
    <w:rsid w:val="00A91060"/>
    <w:rsid w:val="00A91109"/>
    <w:rsid w:val="00A9129E"/>
    <w:rsid w:val="00A92BFD"/>
    <w:rsid w:val="00A9426E"/>
    <w:rsid w:val="00A94543"/>
    <w:rsid w:val="00A949B1"/>
    <w:rsid w:val="00A95CD1"/>
    <w:rsid w:val="00A964AC"/>
    <w:rsid w:val="00A9677C"/>
    <w:rsid w:val="00A9688A"/>
    <w:rsid w:val="00A96BA9"/>
    <w:rsid w:val="00A97385"/>
    <w:rsid w:val="00A974A3"/>
    <w:rsid w:val="00A97AC1"/>
    <w:rsid w:val="00AA024F"/>
    <w:rsid w:val="00AA40E7"/>
    <w:rsid w:val="00AA41DE"/>
    <w:rsid w:val="00AA45F8"/>
    <w:rsid w:val="00AA4FF2"/>
    <w:rsid w:val="00AA54FD"/>
    <w:rsid w:val="00AA5636"/>
    <w:rsid w:val="00AA6F25"/>
    <w:rsid w:val="00AA6FB8"/>
    <w:rsid w:val="00AA7117"/>
    <w:rsid w:val="00AB19AD"/>
    <w:rsid w:val="00AB1ABC"/>
    <w:rsid w:val="00AB2196"/>
    <w:rsid w:val="00AB2765"/>
    <w:rsid w:val="00AB40CB"/>
    <w:rsid w:val="00AB4383"/>
    <w:rsid w:val="00AB5308"/>
    <w:rsid w:val="00AB59E1"/>
    <w:rsid w:val="00AB622D"/>
    <w:rsid w:val="00AB6725"/>
    <w:rsid w:val="00AC05A5"/>
    <w:rsid w:val="00AC104E"/>
    <w:rsid w:val="00AC4908"/>
    <w:rsid w:val="00AC59A4"/>
    <w:rsid w:val="00AC6635"/>
    <w:rsid w:val="00AC76D6"/>
    <w:rsid w:val="00AC7C3C"/>
    <w:rsid w:val="00AD0A95"/>
    <w:rsid w:val="00AD1005"/>
    <w:rsid w:val="00AD1029"/>
    <w:rsid w:val="00AD231C"/>
    <w:rsid w:val="00AD2AC9"/>
    <w:rsid w:val="00AD3177"/>
    <w:rsid w:val="00AD3AA2"/>
    <w:rsid w:val="00AD4892"/>
    <w:rsid w:val="00AD50E7"/>
    <w:rsid w:val="00AD56E2"/>
    <w:rsid w:val="00AD5DDB"/>
    <w:rsid w:val="00AD703D"/>
    <w:rsid w:val="00AD7178"/>
    <w:rsid w:val="00AD7C4F"/>
    <w:rsid w:val="00AD7D23"/>
    <w:rsid w:val="00AD7FF0"/>
    <w:rsid w:val="00AE0541"/>
    <w:rsid w:val="00AE0BBC"/>
    <w:rsid w:val="00AE4AAD"/>
    <w:rsid w:val="00AE5627"/>
    <w:rsid w:val="00AE5916"/>
    <w:rsid w:val="00AE78BF"/>
    <w:rsid w:val="00AE7A61"/>
    <w:rsid w:val="00AF07D6"/>
    <w:rsid w:val="00AF1B0B"/>
    <w:rsid w:val="00AF31AC"/>
    <w:rsid w:val="00AF4822"/>
    <w:rsid w:val="00AF7718"/>
    <w:rsid w:val="00AF7AC3"/>
    <w:rsid w:val="00B01809"/>
    <w:rsid w:val="00B0260F"/>
    <w:rsid w:val="00B02849"/>
    <w:rsid w:val="00B02FDA"/>
    <w:rsid w:val="00B03C11"/>
    <w:rsid w:val="00B048D9"/>
    <w:rsid w:val="00B04C9F"/>
    <w:rsid w:val="00B04E7F"/>
    <w:rsid w:val="00B05713"/>
    <w:rsid w:val="00B057AC"/>
    <w:rsid w:val="00B073E0"/>
    <w:rsid w:val="00B10B94"/>
    <w:rsid w:val="00B1113E"/>
    <w:rsid w:val="00B1204E"/>
    <w:rsid w:val="00B14239"/>
    <w:rsid w:val="00B1439F"/>
    <w:rsid w:val="00B14AB9"/>
    <w:rsid w:val="00B172B9"/>
    <w:rsid w:val="00B2093E"/>
    <w:rsid w:val="00B20F60"/>
    <w:rsid w:val="00B21D14"/>
    <w:rsid w:val="00B21D51"/>
    <w:rsid w:val="00B21E5C"/>
    <w:rsid w:val="00B22327"/>
    <w:rsid w:val="00B2266C"/>
    <w:rsid w:val="00B22796"/>
    <w:rsid w:val="00B2296A"/>
    <w:rsid w:val="00B23678"/>
    <w:rsid w:val="00B240BC"/>
    <w:rsid w:val="00B2434C"/>
    <w:rsid w:val="00B24FB3"/>
    <w:rsid w:val="00B252DB"/>
    <w:rsid w:val="00B276CE"/>
    <w:rsid w:val="00B312BD"/>
    <w:rsid w:val="00B31ACA"/>
    <w:rsid w:val="00B326FD"/>
    <w:rsid w:val="00B3301F"/>
    <w:rsid w:val="00B34198"/>
    <w:rsid w:val="00B342B1"/>
    <w:rsid w:val="00B34D49"/>
    <w:rsid w:val="00B357DA"/>
    <w:rsid w:val="00B3644C"/>
    <w:rsid w:val="00B365E9"/>
    <w:rsid w:val="00B368F3"/>
    <w:rsid w:val="00B36DBE"/>
    <w:rsid w:val="00B401F2"/>
    <w:rsid w:val="00B40204"/>
    <w:rsid w:val="00B43811"/>
    <w:rsid w:val="00B4460B"/>
    <w:rsid w:val="00B44BC1"/>
    <w:rsid w:val="00B5087A"/>
    <w:rsid w:val="00B50AA5"/>
    <w:rsid w:val="00B50D65"/>
    <w:rsid w:val="00B515E4"/>
    <w:rsid w:val="00B52349"/>
    <w:rsid w:val="00B5260B"/>
    <w:rsid w:val="00B52D7B"/>
    <w:rsid w:val="00B52D8A"/>
    <w:rsid w:val="00B53BFC"/>
    <w:rsid w:val="00B53C6C"/>
    <w:rsid w:val="00B54981"/>
    <w:rsid w:val="00B549DF"/>
    <w:rsid w:val="00B560E4"/>
    <w:rsid w:val="00B568D1"/>
    <w:rsid w:val="00B56D27"/>
    <w:rsid w:val="00B61A0E"/>
    <w:rsid w:val="00B61EC6"/>
    <w:rsid w:val="00B62324"/>
    <w:rsid w:val="00B63003"/>
    <w:rsid w:val="00B63314"/>
    <w:rsid w:val="00B63564"/>
    <w:rsid w:val="00B63C16"/>
    <w:rsid w:val="00B63CB4"/>
    <w:rsid w:val="00B63E56"/>
    <w:rsid w:val="00B65357"/>
    <w:rsid w:val="00B653AA"/>
    <w:rsid w:val="00B656A0"/>
    <w:rsid w:val="00B65778"/>
    <w:rsid w:val="00B65EB4"/>
    <w:rsid w:val="00B664B6"/>
    <w:rsid w:val="00B70079"/>
    <w:rsid w:val="00B73A3D"/>
    <w:rsid w:val="00B74CFC"/>
    <w:rsid w:val="00B76446"/>
    <w:rsid w:val="00B7781B"/>
    <w:rsid w:val="00B80A9A"/>
    <w:rsid w:val="00B824BA"/>
    <w:rsid w:val="00B82AB8"/>
    <w:rsid w:val="00B8491D"/>
    <w:rsid w:val="00B85E2B"/>
    <w:rsid w:val="00B91787"/>
    <w:rsid w:val="00B91D8F"/>
    <w:rsid w:val="00B9297B"/>
    <w:rsid w:val="00B92D5C"/>
    <w:rsid w:val="00B9416D"/>
    <w:rsid w:val="00B95C8A"/>
    <w:rsid w:val="00B962C5"/>
    <w:rsid w:val="00B974E4"/>
    <w:rsid w:val="00B97DCB"/>
    <w:rsid w:val="00BA0CB2"/>
    <w:rsid w:val="00BA1093"/>
    <w:rsid w:val="00BA134D"/>
    <w:rsid w:val="00BA19F6"/>
    <w:rsid w:val="00BA228E"/>
    <w:rsid w:val="00BA2CA4"/>
    <w:rsid w:val="00BA339F"/>
    <w:rsid w:val="00BA3FEF"/>
    <w:rsid w:val="00BA42D3"/>
    <w:rsid w:val="00BA43C4"/>
    <w:rsid w:val="00BA6430"/>
    <w:rsid w:val="00BA7520"/>
    <w:rsid w:val="00BA7E7D"/>
    <w:rsid w:val="00BB022B"/>
    <w:rsid w:val="00BB1A80"/>
    <w:rsid w:val="00BB222C"/>
    <w:rsid w:val="00BB3B03"/>
    <w:rsid w:val="00BB488E"/>
    <w:rsid w:val="00BB5157"/>
    <w:rsid w:val="00BB64E2"/>
    <w:rsid w:val="00BB6718"/>
    <w:rsid w:val="00BB6EE1"/>
    <w:rsid w:val="00BB70FE"/>
    <w:rsid w:val="00BC043F"/>
    <w:rsid w:val="00BC287C"/>
    <w:rsid w:val="00BC5D46"/>
    <w:rsid w:val="00BC65A6"/>
    <w:rsid w:val="00BC6AE1"/>
    <w:rsid w:val="00BD009B"/>
    <w:rsid w:val="00BD0677"/>
    <w:rsid w:val="00BD0AC6"/>
    <w:rsid w:val="00BD0B9D"/>
    <w:rsid w:val="00BD14B5"/>
    <w:rsid w:val="00BD366A"/>
    <w:rsid w:val="00BD37EF"/>
    <w:rsid w:val="00BD6754"/>
    <w:rsid w:val="00BD7133"/>
    <w:rsid w:val="00BD7FE5"/>
    <w:rsid w:val="00BE02DE"/>
    <w:rsid w:val="00BE02FE"/>
    <w:rsid w:val="00BE137A"/>
    <w:rsid w:val="00BE366D"/>
    <w:rsid w:val="00BE7A45"/>
    <w:rsid w:val="00BF1941"/>
    <w:rsid w:val="00BF1C24"/>
    <w:rsid w:val="00BF1FAA"/>
    <w:rsid w:val="00BF378F"/>
    <w:rsid w:val="00BF3E94"/>
    <w:rsid w:val="00BF6995"/>
    <w:rsid w:val="00BF6EEB"/>
    <w:rsid w:val="00BF7642"/>
    <w:rsid w:val="00BF7A95"/>
    <w:rsid w:val="00C01AC8"/>
    <w:rsid w:val="00C02DF7"/>
    <w:rsid w:val="00C03E21"/>
    <w:rsid w:val="00C05C85"/>
    <w:rsid w:val="00C060AD"/>
    <w:rsid w:val="00C068CE"/>
    <w:rsid w:val="00C06A69"/>
    <w:rsid w:val="00C12679"/>
    <w:rsid w:val="00C12BB3"/>
    <w:rsid w:val="00C133C8"/>
    <w:rsid w:val="00C1444A"/>
    <w:rsid w:val="00C146AD"/>
    <w:rsid w:val="00C14814"/>
    <w:rsid w:val="00C153CE"/>
    <w:rsid w:val="00C153FE"/>
    <w:rsid w:val="00C15425"/>
    <w:rsid w:val="00C1556D"/>
    <w:rsid w:val="00C15EF6"/>
    <w:rsid w:val="00C16974"/>
    <w:rsid w:val="00C17548"/>
    <w:rsid w:val="00C17F91"/>
    <w:rsid w:val="00C214DD"/>
    <w:rsid w:val="00C21E58"/>
    <w:rsid w:val="00C23978"/>
    <w:rsid w:val="00C257E3"/>
    <w:rsid w:val="00C25B41"/>
    <w:rsid w:val="00C25D82"/>
    <w:rsid w:val="00C274D8"/>
    <w:rsid w:val="00C27DF3"/>
    <w:rsid w:val="00C30108"/>
    <w:rsid w:val="00C3073E"/>
    <w:rsid w:val="00C31388"/>
    <w:rsid w:val="00C320A0"/>
    <w:rsid w:val="00C323EA"/>
    <w:rsid w:val="00C336EC"/>
    <w:rsid w:val="00C3480B"/>
    <w:rsid w:val="00C3590D"/>
    <w:rsid w:val="00C35E05"/>
    <w:rsid w:val="00C36103"/>
    <w:rsid w:val="00C3705D"/>
    <w:rsid w:val="00C37528"/>
    <w:rsid w:val="00C409A3"/>
    <w:rsid w:val="00C40CB3"/>
    <w:rsid w:val="00C40DAB"/>
    <w:rsid w:val="00C41619"/>
    <w:rsid w:val="00C41B83"/>
    <w:rsid w:val="00C41F89"/>
    <w:rsid w:val="00C424F2"/>
    <w:rsid w:val="00C42D45"/>
    <w:rsid w:val="00C4371C"/>
    <w:rsid w:val="00C43E9E"/>
    <w:rsid w:val="00C4625D"/>
    <w:rsid w:val="00C469BB"/>
    <w:rsid w:val="00C4700D"/>
    <w:rsid w:val="00C475D7"/>
    <w:rsid w:val="00C5047A"/>
    <w:rsid w:val="00C50965"/>
    <w:rsid w:val="00C50AF1"/>
    <w:rsid w:val="00C50FD3"/>
    <w:rsid w:val="00C5102A"/>
    <w:rsid w:val="00C51B49"/>
    <w:rsid w:val="00C52A11"/>
    <w:rsid w:val="00C53E1B"/>
    <w:rsid w:val="00C54236"/>
    <w:rsid w:val="00C542AC"/>
    <w:rsid w:val="00C54710"/>
    <w:rsid w:val="00C55496"/>
    <w:rsid w:val="00C60087"/>
    <w:rsid w:val="00C6187B"/>
    <w:rsid w:val="00C62805"/>
    <w:rsid w:val="00C631C1"/>
    <w:rsid w:val="00C6392C"/>
    <w:rsid w:val="00C64089"/>
    <w:rsid w:val="00C640F1"/>
    <w:rsid w:val="00C64170"/>
    <w:rsid w:val="00C6434C"/>
    <w:rsid w:val="00C6479A"/>
    <w:rsid w:val="00C65208"/>
    <w:rsid w:val="00C65929"/>
    <w:rsid w:val="00C65F1D"/>
    <w:rsid w:val="00C67213"/>
    <w:rsid w:val="00C67EB2"/>
    <w:rsid w:val="00C70D41"/>
    <w:rsid w:val="00C71E9F"/>
    <w:rsid w:val="00C721F8"/>
    <w:rsid w:val="00C738BD"/>
    <w:rsid w:val="00C73E25"/>
    <w:rsid w:val="00C7486B"/>
    <w:rsid w:val="00C748AB"/>
    <w:rsid w:val="00C7592E"/>
    <w:rsid w:val="00C75B8C"/>
    <w:rsid w:val="00C76161"/>
    <w:rsid w:val="00C8048B"/>
    <w:rsid w:val="00C80DF8"/>
    <w:rsid w:val="00C816EC"/>
    <w:rsid w:val="00C82170"/>
    <w:rsid w:val="00C8383A"/>
    <w:rsid w:val="00C838A4"/>
    <w:rsid w:val="00C84659"/>
    <w:rsid w:val="00C875E7"/>
    <w:rsid w:val="00C90535"/>
    <w:rsid w:val="00C91D52"/>
    <w:rsid w:val="00C920E6"/>
    <w:rsid w:val="00C9406C"/>
    <w:rsid w:val="00C953D2"/>
    <w:rsid w:val="00C95A70"/>
    <w:rsid w:val="00C95D06"/>
    <w:rsid w:val="00C95D4E"/>
    <w:rsid w:val="00C96323"/>
    <w:rsid w:val="00C97477"/>
    <w:rsid w:val="00C976E6"/>
    <w:rsid w:val="00C97DA0"/>
    <w:rsid w:val="00CA0438"/>
    <w:rsid w:val="00CA0470"/>
    <w:rsid w:val="00CA04AB"/>
    <w:rsid w:val="00CA1F6D"/>
    <w:rsid w:val="00CA26E9"/>
    <w:rsid w:val="00CA52A3"/>
    <w:rsid w:val="00CA5572"/>
    <w:rsid w:val="00CA5B96"/>
    <w:rsid w:val="00CA7192"/>
    <w:rsid w:val="00CB0886"/>
    <w:rsid w:val="00CB177F"/>
    <w:rsid w:val="00CB196E"/>
    <w:rsid w:val="00CB409E"/>
    <w:rsid w:val="00CB47BC"/>
    <w:rsid w:val="00CB5A9D"/>
    <w:rsid w:val="00CB5CC7"/>
    <w:rsid w:val="00CB61E6"/>
    <w:rsid w:val="00CB6781"/>
    <w:rsid w:val="00CB6882"/>
    <w:rsid w:val="00CC0E46"/>
    <w:rsid w:val="00CC1053"/>
    <w:rsid w:val="00CC122C"/>
    <w:rsid w:val="00CC250A"/>
    <w:rsid w:val="00CC7EDE"/>
    <w:rsid w:val="00CD061D"/>
    <w:rsid w:val="00CD0EC4"/>
    <w:rsid w:val="00CD13DD"/>
    <w:rsid w:val="00CD3C61"/>
    <w:rsid w:val="00CD3E80"/>
    <w:rsid w:val="00CD44D2"/>
    <w:rsid w:val="00CD4738"/>
    <w:rsid w:val="00CD5F6F"/>
    <w:rsid w:val="00CD6D43"/>
    <w:rsid w:val="00CD7B3A"/>
    <w:rsid w:val="00CE02F0"/>
    <w:rsid w:val="00CE2E94"/>
    <w:rsid w:val="00CE5F14"/>
    <w:rsid w:val="00CE6236"/>
    <w:rsid w:val="00CE7082"/>
    <w:rsid w:val="00CE7415"/>
    <w:rsid w:val="00CE7644"/>
    <w:rsid w:val="00CF0306"/>
    <w:rsid w:val="00CF1663"/>
    <w:rsid w:val="00CF1FE6"/>
    <w:rsid w:val="00CF253D"/>
    <w:rsid w:val="00CF2C18"/>
    <w:rsid w:val="00CF3CB3"/>
    <w:rsid w:val="00CF4B67"/>
    <w:rsid w:val="00CF54C4"/>
    <w:rsid w:val="00CF623B"/>
    <w:rsid w:val="00D00CA5"/>
    <w:rsid w:val="00D0223E"/>
    <w:rsid w:val="00D0334F"/>
    <w:rsid w:val="00D037C1"/>
    <w:rsid w:val="00D03CFD"/>
    <w:rsid w:val="00D044A4"/>
    <w:rsid w:val="00D05FC9"/>
    <w:rsid w:val="00D0615E"/>
    <w:rsid w:val="00D06A28"/>
    <w:rsid w:val="00D06CD3"/>
    <w:rsid w:val="00D07A9A"/>
    <w:rsid w:val="00D1106C"/>
    <w:rsid w:val="00D11673"/>
    <w:rsid w:val="00D12906"/>
    <w:rsid w:val="00D1291F"/>
    <w:rsid w:val="00D12F63"/>
    <w:rsid w:val="00D14716"/>
    <w:rsid w:val="00D154D2"/>
    <w:rsid w:val="00D15BC1"/>
    <w:rsid w:val="00D15FD5"/>
    <w:rsid w:val="00D1634D"/>
    <w:rsid w:val="00D164E7"/>
    <w:rsid w:val="00D16FB7"/>
    <w:rsid w:val="00D17A35"/>
    <w:rsid w:val="00D2045F"/>
    <w:rsid w:val="00D20870"/>
    <w:rsid w:val="00D210C7"/>
    <w:rsid w:val="00D21ED0"/>
    <w:rsid w:val="00D231B6"/>
    <w:rsid w:val="00D238D4"/>
    <w:rsid w:val="00D2409E"/>
    <w:rsid w:val="00D2463B"/>
    <w:rsid w:val="00D2550B"/>
    <w:rsid w:val="00D26420"/>
    <w:rsid w:val="00D266A2"/>
    <w:rsid w:val="00D2698C"/>
    <w:rsid w:val="00D27795"/>
    <w:rsid w:val="00D30258"/>
    <w:rsid w:val="00D302E3"/>
    <w:rsid w:val="00D30E66"/>
    <w:rsid w:val="00D31D5C"/>
    <w:rsid w:val="00D3523C"/>
    <w:rsid w:val="00D37BB4"/>
    <w:rsid w:val="00D40A82"/>
    <w:rsid w:val="00D41795"/>
    <w:rsid w:val="00D4210E"/>
    <w:rsid w:val="00D42AC8"/>
    <w:rsid w:val="00D43830"/>
    <w:rsid w:val="00D45B79"/>
    <w:rsid w:val="00D46744"/>
    <w:rsid w:val="00D4674F"/>
    <w:rsid w:val="00D4781B"/>
    <w:rsid w:val="00D47CC5"/>
    <w:rsid w:val="00D523E0"/>
    <w:rsid w:val="00D52926"/>
    <w:rsid w:val="00D52C46"/>
    <w:rsid w:val="00D543BF"/>
    <w:rsid w:val="00D546CF"/>
    <w:rsid w:val="00D54915"/>
    <w:rsid w:val="00D554B4"/>
    <w:rsid w:val="00D572DB"/>
    <w:rsid w:val="00D57E1B"/>
    <w:rsid w:val="00D57EE5"/>
    <w:rsid w:val="00D61D86"/>
    <w:rsid w:val="00D6299D"/>
    <w:rsid w:val="00D6402C"/>
    <w:rsid w:val="00D64408"/>
    <w:rsid w:val="00D64A4A"/>
    <w:rsid w:val="00D64C42"/>
    <w:rsid w:val="00D65FA6"/>
    <w:rsid w:val="00D660F9"/>
    <w:rsid w:val="00D6673F"/>
    <w:rsid w:val="00D668CD"/>
    <w:rsid w:val="00D67A25"/>
    <w:rsid w:val="00D70370"/>
    <w:rsid w:val="00D708BA"/>
    <w:rsid w:val="00D70B79"/>
    <w:rsid w:val="00D714B0"/>
    <w:rsid w:val="00D7239F"/>
    <w:rsid w:val="00D732BD"/>
    <w:rsid w:val="00D73B72"/>
    <w:rsid w:val="00D73D14"/>
    <w:rsid w:val="00D765DB"/>
    <w:rsid w:val="00D77A97"/>
    <w:rsid w:val="00D77FF0"/>
    <w:rsid w:val="00D80B14"/>
    <w:rsid w:val="00D81264"/>
    <w:rsid w:val="00D816BB"/>
    <w:rsid w:val="00D81ECB"/>
    <w:rsid w:val="00D8591B"/>
    <w:rsid w:val="00D85FC2"/>
    <w:rsid w:val="00D87310"/>
    <w:rsid w:val="00D8737D"/>
    <w:rsid w:val="00D87F94"/>
    <w:rsid w:val="00D9022B"/>
    <w:rsid w:val="00D90351"/>
    <w:rsid w:val="00D90FA2"/>
    <w:rsid w:val="00D91090"/>
    <w:rsid w:val="00D92FFE"/>
    <w:rsid w:val="00D93097"/>
    <w:rsid w:val="00D9339C"/>
    <w:rsid w:val="00D93829"/>
    <w:rsid w:val="00D93AEB"/>
    <w:rsid w:val="00D9485E"/>
    <w:rsid w:val="00D94C48"/>
    <w:rsid w:val="00D94D7B"/>
    <w:rsid w:val="00D958EB"/>
    <w:rsid w:val="00D96B0D"/>
    <w:rsid w:val="00D96D0A"/>
    <w:rsid w:val="00D97050"/>
    <w:rsid w:val="00D9742D"/>
    <w:rsid w:val="00D979CD"/>
    <w:rsid w:val="00D97B84"/>
    <w:rsid w:val="00DA1823"/>
    <w:rsid w:val="00DA21F3"/>
    <w:rsid w:val="00DA2BB7"/>
    <w:rsid w:val="00DA48A8"/>
    <w:rsid w:val="00DA6268"/>
    <w:rsid w:val="00DA6FD1"/>
    <w:rsid w:val="00DB04FE"/>
    <w:rsid w:val="00DB0D8D"/>
    <w:rsid w:val="00DB0E49"/>
    <w:rsid w:val="00DB1706"/>
    <w:rsid w:val="00DB1B32"/>
    <w:rsid w:val="00DB1CB1"/>
    <w:rsid w:val="00DB2A0D"/>
    <w:rsid w:val="00DB2E4D"/>
    <w:rsid w:val="00DB4A75"/>
    <w:rsid w:val="00DB4BF3"/>
    <w:rsid w:val="00DB4FE0"/>
    <w:rsid w:val="00DB703C"/>
    <w:rsid w:val="00DB7CDD"/>
    <w:rsid w:val="00DB7FD2"/>
    <w:rsid w:val="00DC0278"/>
    <w:rsid w:val="00DC0D97"/>
    <w:rsid w:val="00DC1485"/>
    <w:rsid w:val="00DC1B4F"/>
    <w:rsid w:val="00DC1E32"/>
    <w:rsid w:val="00DC22DC"/>
    <w:rsid w:val="00DC2C12"/>
    <w:rsid w:val="00DC2C64"/>
    <w:rsid w:val="00DC4321"/>
    <w:rsid w:val="00DC51CA"/>
    <w:rsid w:val="00DC6C38"/>
    <w:rsid w:val="00DC7475"/>
    <w:rsid w:val="00DD0D0D"/>
    <w:rsid w:val="00DD0F84"/>
    <w:rsid w:val="00DD1B7A"/>
    <w:rsid w:val="00DD2B79"/>
    <w:rsid w:val="00DD2DC0"/>
    <w:rsid w:val="00DD535F"/>
    <w:rsid w:val="00DD6904"/>
    <w:rsid w:val="00DE155F"/>
    <w:rsid w:val="00DE1DEE"/>
    <w:rsid w:val="00DE27D2"/>
    <w:rsid w:val="00DE3188"/>
    <w:rsid w:val="00DE3A06"/>
    <w:rsid w:val="00DE46A5"/>
    <w:rsid w:val="00DE550C"/>
    <w:rsid w:val="00DE57D6"/>
    <w:rsid w:val="00DE5DFA"/>
    <w:rsid w:val="00DE5F61"/>
    <w:rsid w:val="00DE748E"/>
    <w:rsid w:val="00DF1141"/>
    <w:rsid w:val="00DF256D"/>
    <w:rsid w:val="00DF38E2"/>
    <w:rsid w:val="00DF43A0"/>
    <w:rsid w:val="00DF4622"/>
    <w:rsid w:val="00DF4B8D"/>
    <w:rsid w:val="00DF6A35"/>
    <w:rsid w:val="00DF74DB"/>
    <w:rsid w:val="00DF78A6"/>
    <w:rsid w:val="00E0189A"/>
    <w:rsid w:val="00E023A1"/>
    <w:rsid w:val="00E02425"/>
    <w:rsid w:val="00E02A48"/>
    <w:rsid w:val="00E02E6B"/>
    <w:rsid w:val="00E064CC"/>
    <w:rsid w:val="00E06EC6"/>
    <w:rsid w:val="00E10510"/>
    <w:rsid w:val="00E12E80"/>
    <w:rsid w:val="00E13D8C"/>
    <w:rsid w:val="00E172B7"/>
    <w:rsid w:val="00E17BC0"/>
    <w:rsid w:val="00E2097D"/>
    <w:rsid w:val="00E211D7"/>
    <w:rsid w:val="00E22D6E"/>
    <w:rsid w:val="00E2362F"/>
    <w:rsid w:val="00E23A37"/>
    <w:rsid w:val="00E23AE7"/>
    <w:rsid w:val="00E2412B"/>
    <w:rsid w:val="00E24259"/>
    <w:rsid w:val="00E25446"/>
    <w:rsid w:val="00E25568"/>
    <w:rsid w:val="00E264C8"/>
    <w:rsid w:val="00E27667"/>
    <w:rsid w:val="00E27A3D"/>
    <w:rsid w:val="00E27F9A"/>
    <w:rsid w:val="00E324F2"/>
    <w:rsid w:val="00E32823"/>
    <w:rsid w:val="00E339DF"/>
    <w:rsid w:val="00E341D4"/>
    <w:rsid w:val="00E347E6"/>
    <w:rsid w:val="00E35756"/>
    <w:rsid w:val="00E376BE"/>
    <w:rsid w:val="00E37746"/>
    <w:rsid w:val="00E37C87"/>
    <w:rsid w:val="00E37F33"/>
    <w:rsid w:val="00E46820"/>
    <w:rsid w:val="00E46F6E"/>
    <w:rsid w:val="00E47D7C"/>
    <w:rsid w:val="00E5127E"/>
    <w:rsid w:val="00E518AF"/>
    <w:rsid w:val="00E53C65"/>
    <w:rsid w:val="00E54995"/>
    <w:rsid w:val="00E552BC"/>
    <w:rsid w:val="00E553AD"/>
    <w:rsid w:val="00E5592A"/>
    <w:rsid w:val="00E55B09"/>
    <w:rsid w:val="00E5612F"/>
    <w:rsid w:val="00E57452"/>
    <w:rsid w:val="00E60798"/>
    <w:rsid w:val="00E60F0A"/>
    <w:rsid w:val="00E62063"/>
    <w:rsid w:val="00E620F5"/>
    <w:rsid w:val="00E62192"/>
    <w:rsid w:val="00E6260F"/>
    <w:rsid w:val="00E645CD"/>
    <w:rsid w:val="00E64AC4"/>
    <w:rsid w:val="00E71A9D"/>
    <w:rsid w:val="00E7219E"/>
    <w:rsid w:val="00E729B1"/>
    <w:rsid w:val="00E741A9"/>
    <w:rsid w:val="00E77AD4"/>
    <w:rsid w:val="00E80633"/>
    <w:rsid w:val="00E8294F"/>
    <w:rsid w:val="00E85230"/>
    <w:rsid w:val="00E86404"/>
    <w:rsid w:val="00E8701E"/>
    <w:rsid w:val="00E9050A"/>
    <w:rsid w:val="00E90CB8"/>
    <w:rsid w:val="00E916F3"/>
    <w:rsid w:val="00E9261C"/>
    <w:rsid w:val="00E9346D"/>
    <w:rsid w:val="00E93817"/>
    <w:rsid w:val="00E95DE6"/>
    <w:rsid w:val="00E96A28"/>
    <w:rsid w:val="00EA0516"/>
    <w:rsid w:val="00EA1C04"/>
    <w:rsid w:val="00EA4C9D"/>
    <w:rsid w:val="00EA4E1A"/>
    <w:rsid w:val="00EA604A"/>
    <w:rsid w:val="00EA6356"/>
    <w:rsid w:val="00EA7D9B"/>
    <w:rsid w:val="00EB1A91"/>
    <w:rsid w:val="00EB211C"/>
    <w:rsid w:val="00EB2CAD"/>
    <w:rsid w:val="00EB2ED2"/>
    <w:rsid w:val="00EB39B3"/>
    <w:rsid w:val="00EB48F6"/>
    <w:rsid w:val="00EB4F53"/>
    <w:rsid w:val="00EB50E3"/>
    <w:rsid w:val="00EB6B5F"/>
    <w:rsid w:val="00EB6C7D"/>
    <w:rsid w:val="00EB75E1"/>
    <w:rsid w:val="00EB78B4"/>
    <w:rsid w:val="00EB7A2E"/>
    <w:rsid w:val="00EC3427"/>
    <w:rsid w:val="00EC3E35"/>
    <w:rsid w:val="00EC4D3A"/>
    <w:rsid w:val="00EC5586"/>
    <w:rsid w:val="00EC59A3"/>
    <w:rsid w:val="00EC6818"/>
    <w:rsid w:val="00EC7509"/>
    <w:rsid w:val="00EC78DF"/>
    <w:rsid w:val="00ED02C7"/>
    <w:rsid w:val="00ED04C2"/>
    <w:rsid w:val="00ED0CEF"/>
    <w:rsid w:val="00ED11CC"/>
    <w:rsid w:val="00ED123C"/>
    <w:rsid w:val="00ED4B26"/>
    <w:rsid w:val="00ED691A"/>
    <w:rsid w:val="00EE20F1"/>
    <w:rsid w:val="00EE2A37"/>
    <w:rsid w:val="00EE3D35"/>
    <w:rsid w:val="00EE4202"/>
    <w:rsid w:val="00EE5870"/>
    <w:rsid w:val="00EE5AAF"/>
    <w:rsid w:val="00EE7BD1"/>
    <w:rsid w:val="00EF033A"/>
    <w:rsid w:val="00EF2A92"/>
    <w:rsid w:val="00EF3B42"/>
    <w:rsid w:val="00EF3BD3"/>
    <w:rsid w:val="00EF40BA"/>
    <w:rsid w:val="00EF47A9"/>
    <w:rsid w:val="00EF499C"/>
    <w:rsid w:val="00EF5D07"/>
    <w:rsid w:val="00EF6689"/>
    <w:rsid w:val="00EF7EEB"/>
    <w:rsid w:val="00F003FA"/>
    <w:rsid w:val="00F004CE"/>
    <w:rsid w:val="00F0256D"/>
    <w:rsid w:val="00F03AD1"/>
    <w:rsid w:val="00F03D51"/>
    <w:rsid w:val="00F054D8"/>
    <w:rsid w:val="00F06C15"/>
    <w:rsid w:val="00F06F0A"/>
    <w:rsid w:val="00F06F72"/>
    <w:rsid w:val="00F079A8"/>
    <w:rsid w:val="00F10262"/>
    <w:rsid w:val="00F1058D"/>
    <w:rsid w:val="00F10BBE"/>
    <w:rsid w:val="00F121D0"/>
    <w:rsid w:val="00F1277E"/>
    <w:rsid w:val="00F12FD3"/>
    <w:rsid w:val="00F13EC3"/>
    <w:rsid w:val="00F1596C"/>
    <w:rsid w:val="00F166A9"/>
    <w:rsid w:val="00F167C0"/>
    <w:rsid w:val="00F17A17"/>
    <w:rsid w:val="00F17CCF"/>
    <w:rsid w:val="00F207B3"/>
    <w:rsid w:val="00F2127D"/>
    <w:rsid w:val="00F22858"/>
    <w:rsid w:val="00F248C9"/>
    <w:rsid w:val="00F24C48"/>
    <w:rsid w:val="00F24E08"/>
    <w:rsid w:val="00F2518D"/>
    <w:rsid w:val="00F25FE3"/>
    <w:rsid w:val="00F268AA"/>
    <w:rsid w:val="00F2757D"/>
    <w:rsid w:val="00F31150"/>
    <w:rsid w:val="00F32273"/>
    <w:rsid w:val="00F3327B"/>
    <w:rsid w:val="00F339ED"/>
    <w:rsid w:val="00F355E8"/>
    <w:rsid w:val="00F35CC1"/>
    <w:rsid w:val="00F35F0D"/>
    <w:rsid w:val="00F361F2"/>
    <w:rsid w:val="00F36E16"/>
    <w:rsid w:val="00F3749F"/>
    <w:rsid w:val="00F40961"/>
    <w:rsid w:val="00F40CEC"/>
    <w:rsid w:val="00F4441C"/>
    <w:rsid w:val="00F44830"/>
    <w:rsid w:val="00F44AAA"/>
    <w:rsid w:val="00F44EB0"/>
    <w:rsid w:val="00F45963"/>
    <w:rsid w:val="00F4691C"/>
    <w:rsid w:val="00F47ECC"/>
    <w:rsid w:val="00F503C6"/>
    <w:rsid w:val="00F50450"/>
    <w:rsid w:val="00F5178E"/>
    <w:rsid w:val="00F527B8"/>
    <w:rsid w:val="00F53770"/>
    <w:rsid w:val="00F54C16"/>
    <w:rsid w:val="00F55039"/>
    <w:rsid w:val="00F55C6C"/>
    <w:rsid w:val="00F56D67"/>
    <w:rsid w:val="00F573A5"/>
    <w:rsid w:val="00F57BEB"/>
    <w:rsid w:val="00F57ED3"/>
    <w:rsid w:val="00F64270"/>
    <w:rsid w:val="00F64C9D"/>
    <w:rsid w:val="00F65C7D"/>
    <w:rsid w:val="00F664ED"/>
    <w:rsid w:val="00F66D9D"/>
    <w:rsid w:val="00F67EDA"/>
    <w:rsid w:val="00F67FE9"/>
    <w:rsid w:val="00F720A0"/>
    <w:rsid w:val="00F723C1"/>
    <w:rsid w:val="00F77AEF"/>
    <w:rsid w:val="00F8061E"/>
    <w:rsid w:val="00F806F5"/>
    <w:rsid w:val="00F80C64"/>
    <w:rsid w:val="00F811C6"/>
    <w:rsid w:val="00F81473"/>
    <w:rsid w:val="00F8254F"/>
    <w:rsid w:val="00F85660"/>
    <w:rsid w:val="00F86600"/>
    <w:rsid w:val="00F8755E"/>
    <w:rsid w:val="00F87B7D"/>
    <w:rsid w:val="00F9005C"/>
    <w:rsid w:val="00F90299"/>
    <w:rsid w:val="00F90452"/>
    <w:rsid w:val="00F90817"/>
    <w:rsid w:val="00F90D1F"/>
    <w:rsid w:val="00F90F66"/>
    <w:rsid w:val="00F92710"/>
    <w:rsid w:val="00F932CD"/>
    <w:rsid w:val="00F93E50"/>
    <w:rsid w:val="00F94981"/>
    <w:rsid w:val="00F96370"/>
    <w:rsid w:val="00F9736F"/>
    <w:rsid w:val="00FA0342"/>
    <w:rsid w:val="00FA0415"/>
    <w:rsid w:val="00FA0CDC"/>
    <w:rsid w:val="00FA1096"/>
    <w:rsid w:val="00FA4759"/>
    <w:rsid w:val="00FA4EB2"/>
    <w:rsid w:val="00FA668F"/>
    <w:rsid w:val="00FA692A"/>
    <w:rsid w:val="00FA6951"/>
    <w:rsid w:val="00FA76A0"/>
    <w:rsid w:val="00FB0B00"/>
    <w:rsid w:val="00FB1BBB"/>
    <w:rsid w:val="00FB208D"/>
    <w:rsid w:val="00FB29FD"/>
    <w:rsid w:val="00FB483E"/>
    <w:rsid w:val="00FB4E14"/>
    <w:rsid w:val="00FB60B6"/>
    <w:rsid w:val="00FB7182"/>
    <w:rsid w:val="00FB756E"/>
    <w:rsid w:val="00FB7668"/>
    <w:rsid w:val="00FB77F2"/>
    <w:rsid w:val="00FC0B47"/>
    <w:rsid w:val="00FC1124"/>
    <w:rsid w:val="00FC150B"/>
    <w:rsid w:val="00FC1B99"/>
    <w:rsid w:val="00FC2586"/>
    <w:rsid w:val="00FC5BB8"/>
    <w:rsid w:val="00FC5C33"/>
    <w:rsid w:val="00FC699C"/>
    <w:rsid w:val="00FC6A64"/>
    <w:rsid w:val="00FC79B5"/>
    <w:rsid w:val="00FC7D36"/>
    <w:rsid w:val="00FD3690"/>
    <w:rsid w:val="00FD3BD8"/>
    <w:rsid w:val="00FD43C6"/>
    <w:rsid w:val="00FD5FBB"/>
    <w:rsid w:val="00FD7513"/>
    <w:rsid w:val="00FE01FF"/>
    <w:rsid w:val="00FE0DC2"/>
    <w:rsid w:val="00FE14EF"/>
    <w:rsid w:val="00FE1698"/>
    <w:rsid w:val="00FE16D8"/>
    <w:rsid w:val="00FE1B09"/>
    <w:rsid w:val="00FE1D65"/>
    <w:rsid w:val="00FE282C"/>
    <w:rsid w:val="00FE3A76"/>
    <w:rsid w:val="00FE3B76"/>
    <w:rsid w:val="00FE4AB0"/>
    <w:rsid w:val="00FE5B87"/>
    <w:rsid w:val="00FE682D"/>
    <w:rsid w:val="00FE7250"/>
    <w:rsid w:val="00FF21A6"/>
    <w:rsid w:val="00FF4CA3"/>
    <w:rsid w:val="00FF6343"/>
    <w:rsid w:val="00FF72E5"/>
    <w:rsid w:val="00FF75D5"/>
    <w:rsid w:val="00FF790D"/>
    <w:rsid w:val="00FF7E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14721"/>
  <w15:docId w15:val="{7C41D3A5-9567-491D-B1B4-E81567FC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94"/>
    <w:pPr>
      <w:spacing w:after="200" w:line="276" w:lineRule="auto"/>
    </w:pPr>
    <w:rPr>
      <w:rFonts w:ascii="Arial" w:hAnsi="Arial"/>
      <w:sz w:val="24"/>
      <w:lang w:eastAsia="en-US"/>
    </w:rPr>
  </w:style>
  <w:style w:type="paragraph" w:styleId="Heading1">
    <w:name w:val="heading 1"/>
    <w:basedOn w:val="Normal"/>
    <w:next w:val="Normal"/>
    <w:link w:val="Heading1Char"/>
    <w:uiPriority w:val="99"/>
    <w:qFormat/>
    <w:rsid w:val="00D269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269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2698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269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2698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2698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2698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2698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2698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9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269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2698C"/>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269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2698C"/>
    <w:rPr>
      <w:rFonts w:ascii="Cambria" w:hAnsi="Cambria" w:cs="Times New Roman"/>
      <w:color w:val="243F60"/>
    </w:rPr>
  </w:style>
  <w:style w:type="character" w:customStyle="1" w:styleId="Heading6Char">
    <w:name w:val="Heading 6 Char"/>
    <w:basedOn w:val="DefaultParagraphFont"/>
    <w:link w:val="Heading6"/>
    <w:uiPriority w:val="99"/>
    <w:semiHidden/>
    <w:locked/>
    <w:rsid w:val="00D2698C"/>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2698C"/>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2698C"/>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2698C"/>
    <w:rPr>
      <w:rFonts w:ascii="Cambria" w:hAnsi="Cambria" w:cs="Times New Roman"/>
      <w:i/>
      <w:iCs/>
      <w:color w:val="404040"/>
      <w:sz w:val="20"/>
      <w:szCs w:val="20"/>
    </w:rPr>
  </w:style>
  <w:style w:type="table" w:styleId="TableGrid">
    <w:name w:val="Table Grid"/>
    <w:basedOn w:val="TableNormal"/>
    <w:uiPriority w:val="59"/>
    <w:rsid w:val="006F551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D2698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2698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2698C"/>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D2698C"/>
    <w:rPr>
      <w:rFonts w:ascii="Cambria" w:hAnsi="Cambria" w:cs="Times New Roman"/>
      <w:i/>
      <w:iCs/>
      <w:color w:val="4F81BD"/>
      <w:spacing w:val="15"/>
      <w:sz w:val="24"/>
      <w:szCs w:val="24"/>
    </w:rPr>
  </w:style>
  <w:style w:type="character" w:styleId="Strong">
    <w:name w:val="Strong"/>
    <w:basedOn w:val="DefaultParagraphFont"/>
    <w:uiPriority w:val="99"/>
    <w:qFormat/>
    <w:rsid w:val="00D2698C"/>
    <w:rPr>
      <w:rFonts w:cs="Times New Roman"/>
      <w:b/>
      <w:bCs/>
    </w:rPr>
  </w:style>
  <w:style w:type="character" w:styleId="Emphasis">
    <w:name w:val="Emphasis"/>
    <w:basedOn w:val="DefaultParagraphFont"/>
    <w:uiPriority w:val="99"/>
    <w:qFormat/>
    <w:rsid w:val="00D2698C"/>
    <w:rPr>
      <w:rFonts w:cs="Times New Roman"/>
      <w:i/>
      <w:iCs/>
    </w:rPr>
  </w:style>
  <w:style w:type="paragraph" w:styleId="NoSpacing">
    <w:name w:val="No Spacing"/>
    <w:basedOn w:val="Normal"/>
    <w:uiPriority w:val="1"/>
    <w:qFormat/>
    <w:rsid w:val="00D2698C"/>
    <w:pPr>
      <w:spacing w:after="0" w:line="240" w:lineRule="auto"/>
    </w:pPr>
  </w:style>
  <w:style w:type="paragraph" w:styleId="ListParagraph">
    <w:name w:val="List Paragraph"/>
    <w:basedOn w:val="Normal"/>
    <w:uiPriority w:val="34"/>
    <w:qFormat/>
    <w:rsid w:val="00D2698C"/>
    <w:pPr>
      <w:ind w:left="720"/>
      <w:contextualSpacing/>
    </w:pPr>
  </w:style>
  <w:style w:type="paragraph" w:styleId="Quote">
    <w:name w:val="Quote"/>
    <w:basedOn w:val="Normal"/>
    <w:next w:val="Normal"/>
    <w:link w:val="QuoteChar"/>
    <w:uiPriority w:val="99"/>
    <w:qFormat/>
    <w:rsid w:val="00D2698C"/>
    <w:rPr>
      <w:i/>
      <w:iCs/>
      <w:color w:val="000000"/>
    </w:rPr>
  </w:style>
  <w:style w:type="character" w:customStyle="1" w:styleId="QuoteChar">
    <w:name w:val="Quote Char"/>
    <w:basedOn w:val="DefaultParagraphFont"/>
    <w:link w:val="Quote"/>
    <w:uiPriority w:val="99"/>
    <w:locked/>
    <w:rsid w:val="00D2698C"/>
    <w:rPr>
      <w:rFonts w:cs="Times New Roman"/>
      <w:i/>
      <w:iCs/>
      <w:color w:val="000000"/>
    </w:rPr>
  </w:style>
  <w:style w:type="paragraph" w:styleId="IntenseQuote">
    <w:name w:val="Intense Quote"/>
    <w:basedOn w:val="Normal"/>
    <w:next w:val="Normal"/>
    <w:link w:val="IntenseQuoteChar"/>
    <w:uiPriority w:val="99"/>
    <w:qFormat/>
    <w:rsid w:val="00D2698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2698C"/>
    <w:rPr>
      <w:rFonts w:cs="Times New Roman"/>
      <w:b/>
      <w:bCs/>
      <w:i/>
      <w:iCs/>
      <w:color w:val="4F81BD"/>
    </w:rPr>
  </w:style>
  <w:style w:type="character" w:styleId="SubtleEmphasis">
    <w:name w:val="Subtle Emphasis"/>
    <w:basedOn w:val="DefaultParagraphFont"/>
    <w:uiPriority w:val="99"/>
    <w:qFormat/>
    <w:rsid w:val="00D2698C"/>
    <w:rPr>
      <w:rFonts w:cs="Times New Roman"/>
      <w:i/>
      <w:color w:val="808080"/>
    </w:rPr>
  </w:style>
  <w:style w:type="character" w:styleId="IntenseEmphasis">
    <w:name w:val="Intense Emphasis"/>
    <w:basedOn w:val="DefaultParagraphFont"/>
    <w:uiPriority w:val="99"/>
    <w:qFormat/>
    <w:rsid w:val="00D2698C"/>
    <w:rPr>
      <w:rFonts w:cs="Times New Roman"/>
      <w:b/>
      <w:bCs/>
      <w:i/>
      <w:iCs/>
      <w:color w:val="4F81BD"/>
    </w:rPr>
  </w:style>
  <w:style w:type="character" w:styleId="SubtleReference">
    <w:name w:val="Subtle Reference"/>
    <w:basedOn w:val="DefaultParagraphFont"/>
    <w:uiPriority w:val="99"/>
    <w:qFormat/>
    <w:rsid w:val="00D2698C"/>
    <w:rPr>
      <w:rFonts w:cs="Times New Roman"/>
      <w:smallCaps/>
      <w:color w:val="C0504D"/>
      <w:u w:val="single"/>
    </w:rPr>
  </w:style>
  <w:style w:type="character" w:styleId="IntenseReference">
    <w:name w:val="Intense Reference"/>
    <w:basedOn w:val="DefaultParagraphFont"/>
    <w:uiPriority w:val="99"/>
    <w:qFormat/>
    <w:rsid w:val="00D2698C"/>
    <w:rPr>
      <w:rFonts w:cs="Times New Roman"/>
      <w:b/>
      <w:bCs/>
      <w:smallCaps/>
      <w:color w:val="C0504D"/>
      <w:spacing w:val="5"/>
      <w:u w:val="single"/>
    </w:rPr>
  </w:style>
  <w:style w:type="character" w:styleId="BookTitle">
    <w:name w:val="Book Title"/>
    <w:basedOn w:val="DefaultParagraphFont"/>
    <w:uiPriority w:val="99"/>
    <w:qFormat/>
    <w:rsid w:val="00D2698C"/>
    <w:rPr>
      <w:rFonts w:cs="Times New Roman"/>
      <w:b/>
      <w:bCs/>
      <w:smallCaps/>
      <w:spacing w:val="5"/>
    </w:rPr>
  </w:style>
  <w:style w:type="paragraph" w:styleId="TOCHeading">
    <w:name w:val="TOC Heading"/>
    <w:basedOn w:val="Heading1"/>
    <w:next w:val="Normal"/>
    <w:uiPriority w:val="99"/>
    <w:qFormat/>
    <w:rsid w:val="00D2698C"/>
    <w:pPr>
      <w:outlineLvl w:val="9"/>
    </w:pPr>
  </w:style>
  <w:style w:type="paragraph" w:styleId="Header">
    <w:name w:val="header"/>
    <w:basedOn w:val="Normal"/>
    <w:link w:val="HeaderChar"/>
    <w:uiPriority w:val="99"/>
    <w:semiHidden/>
    <w:rsid w:val="00AA0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A024F"/>
    <w:rPr>
      <w:rFonts w:cs="Times New Roman"/>
    </w:rPr>
  </w:style>
  <w:style w:type="paragraph" w:styleId="Footer">
    <w:name w:val="footer"/>
    <w:basedOn w:val="Normal"/>
    <w:link w:val="FooterChar"/>
    <w:uiPriority w:val="99"/>
    <w:qFormat/>
    <w:rsid w:val="00AA02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24F"/>
    <w:rPr>
      <w:rFonts w:cs="Times New Roman"/>
    </w:rPr>
  </w:style>
  <w:style w:type="paragraph" w:styleId="BalloonText">
    <w:name w:val="Balloon Text"/>
    <w:basedOn w:val="Normal"/>
    <w:link w:val="BalloonTextChar"/>
    <w:uiPriority w:val="99"/>
    <w:semiHidden/>
    <w:rsid w:val="00AA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4F"/>
    <w:rPr>
      <w:rFonts w:ascii="Tahoma" w:hAnsi="Tahoma" w:cs="Tahoma"/>
      <w:sz w:val="16"/>
      <w:szCs w:val="16"/>
    </w:rPr>
  </w:style>
  <w:style w:type="paragraph" w:styleId="FootnoteText">
    <w:name w:val="footnote text"/>
    <w:basedOn w:val="Normal"/>
    <w:link w:val="FootnoteTextChar"/>
    <w:uiPriority w:val="99"/>
    <w:semiHidden/>
    <w:unhideWhenUsed/>
    <w:locked/>
    <w:rsid w:val="005E7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6B3"/>
    <w:rPr>
      <w:rFonts w:ascii="Arial" w:hAnsi="Arial"/>
      <w:sz w:val="20"/>
      <w:szCs w:val="20"/>
      <w:lang w:eastAsia="en-US"/>
    </w:rPr>
  </w:style>
  <w:style w:type="character" w:styleId="FootnoteReference">
    <w:name w:val="footnote reference"/>
    <w:basedOn w:val="DefaultParagraphFont"/>
    <w:uiPriority w:val="99"/>
    <w:semiHidden/>
    <w:unhideWhenUsed/>
    <w:locked/>
    <w:rsid w:val="005E7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0881">
      <w:bodyDiv w:val="1"/>
      <w:marLeft w:val="0"/>
      <w:marRight w:val="0"/>
      <w:marTop w:val="0"/>
      <w:marBottom w:val="0"/>
      <w:divBdr>
        <w:top w:val="none" w:sz="0" w:space="0" w:color="auto"/>
        <w:left w:val="none" w:sz="0" w:space="0" w:color="auto"/>
        <w:bottom w:val="none" w:sz="0" w:space="0" w:color="auto"/>
        <w:right w:val="none" w:sz="0" w:space="0" w:color="auto"/>
      </w:divBdr>
    </w:div>
    <w:div w:id="1556963435">
      <w:marLeft w:val="0"/>
      <w:marRight w:val="0"/>
      <w:marTop w:val="0"/>
      <w:marBottom w:val="0"/>
      <w:divBdr>
        <w:top w:val="none" w:sz="0" w:space="0" w:color="auto"/>
        <w:left w:val="none" w:sz="0" w:space="0" w:color="auto"/>
        <w:bottom w:val="none" w:sz="0" w:space="0" w:color="auto"/>
        <w:right w:val="none" w:sz="0" w:space="0" w:color="auto"/>
      </w:divBdr>
      <w:divsChild>
        <w:div w:id="1556963438">
          <w:marLeft w:val="806"/>
          <w:marRight w:val="0"/>
          <w:marTop w:val="134"/>
          <w:marBottom w:val="0"/>
          <w:divBdr>
            <w:top w:val="none" w:sz="0" w:space="0" w:color="auto"/>
            <w:left w:val="none" w:sz="0" w:space="0" w:color="auto"/>
            <w:bottom w:val="none" w:sz="0" w:space="0" w:color="auto"/>
            <w:right w:val="none" w:sz="0" w:space="0" w:color="auto"/>
          </w:divBdr>
        </w:div>
        <w:div w:id="1556963439">
          <w:marLeft w:val="806"/>
          <w:marRight w:val="0"/>
          <w:marTop w:val="134"/>
          <w:marBottom w:val="0"/>
          <w:divBdr>
            <w:top w:val="none" w:sz="0" w:space="0" w:color="auto"/>
            <w:left w:val="none" w:sz="0" w:space="0" w:color="auto"/>
            <w:bottom w:val="none" w:sz="0" w:space="0" w:color="auto"/>
            <w:right w:val="none" w:sz="0" w:space="0" w:color="auto"/>
          </w:divBdr>
        </w:div>
        <w:div w:id="1556963444">
          <w:marLeft w:val="806"/>
          <w:marRight w:val="0"/>
          <w:marTop w:val="134"/>
          <w:marBottom w:val="0"/>
          <w:divBdr>
            <w:top w:val="none" w:sz="0" w:space="0" w:color="auto"/>
            <w:left w:val="none" w:sz="0" w:space="0" w:color="auto"/>
            <w:bottom w:val="none" w:sz="0" w:space="0" w:color="auto"/>
            <w:right w:val="none" w:sz="0" w:space="0" w:color="auto"/>
          </w:divBdr>
        </w:div>
        <w:div w:id="1556963447">
          <w:marLeft w:val="806"/>
          <w:marRight w:val="0"/>
          <w:marTop w:val="134"/>
          <w:marBottom w:val="0"/>
          <w:divBdr>
            <w:top w:val="none" w:sz="0" w:space="0" w:color="auto"/>
            <w:left w:val="none" w:sz="0" w:space="0" w:color="auto"/>
            <w:bottom w:val="none" w:sz="0" w:space="0" w:color="auto"/>
            <w:right w:val="none" w:sz="0" w:space="0" w:color="auto"/>
          </w:divBdr>
        </w:div>
      </w:divsChild>
    </w:div>
    <w:div w:id="1556963446">
      <w:marLeft w:val="0"/>
      <w:marRight w:val="0"/>
      <w:marTop w:val="0"/>
      <w:marBottom w:val="0"/>
      <w:divBdr>
        <w:top w:val="none" w:sz="0" w:space="0" w:color="auto"/>
        <w:left w:val="none" w:sz="0" w:space="0" w:color="auto"/>
        <w:bottom w:val="none" w:sz="0" w:space="0" w:color="auto"/>
        <w:right w:val="none" w:sz="0" w:space="0" w:color="auto"/>
      </w:divBdr>
      <w:divsChild>
        <w:div w:id="1556963436">
          <w:marLeft w:val="547"/>
          <w:marRight w:val="0"/>
          <w:marTop w:val="115"/>
          <w:marBottom w:val="0"/>
          <w:divBdr>
            <w:top w:val="none" w:sz="0" w:space="0" w:color="auto"/>
            <w:left w:val="none" w:sz="0" w:space="0" w:color="auto"/>
            <w:bottom w:val="none" w:sz="0" w:space="0" w:color="auto"/>
            <w:right w:val="none" w:sz="0" w:space="0" w:color="auto"/>
          </w:divBdr>
        </w:div>
        <w:div w:id="1556963437">
          <w:marLeft w:val="547"/>
          <w:marRight w:val="0"/>
          <w:marTop w:val="115"/>
          <w:marBottom w:val="0"/>
          <w:divBdr>
            <w:top w:val="none" w:sz="0" w:space="0" w:color="auto"/>
            <w:left w:val="none" w:sz="0" w:space="0" w:color="auto"/>
            <w:bottom w:val="none" w:sz="0" w:space="0" w:color="auto"/>
            <w:right w:val="none" w:sz="0" w:space="0" w:color="auto"/>
          </w:divBdr>
        </w:div>
        <w:div w:id="1556963441">
          <w:marLeft w:val="547"/>
          <w:marRight w:val="0"/>
          <w:marTop w:val="115"/>
          <w:marBottom w:val="0"/>
          <w:divBdr>
            <w:top w:val="none" w:sz="0" w:space="0" w:color="auto"/>
            <w:left w:val="none" w:sz="0" w:space="0" w:color="auto"/>
            <w:bottom w:val="none" w:sz="0" w:space="0" w:color="auto"/>
            <w:right w:val="none" w:sz="0" w:space="0" w:color="auto"/>
          </w:divBdr>
        </w:div>
        <w:div w:id="1556963445">
          <w:marLeft w:val="547"/>
          <w:marRight w:val="0"/>
          <w:marTop w:val="115"/>
          <w:marBottom w:val="0"/>
          <w:divBdr>
            <w:top w:val="none" w:sz="0" w:space="0" w:color="auto"/>
            <w:left w:val="none" w:sz="0" w:space="0" w:color="auto"/>
            <w:bottom w:val="none" w:sz="0" w:space="0" w:color="auto"/>
            <w:right w:val="none" w:sz="0" w:space="0" w:color="auto"/>
          </w:divBdr>
        </w:div>
        <w:div w:id="1556963451">
          <w:marLeft w:val="547"/>
          <w:marRight w:val="0"/>
          <w:marTop w:val="115"/>
          <w:marBottom w:val="0"/>
          <w:divBdr>
            <w:top w:val="none" w:sz="0" w:space="0" w:color="auto"/>
            <w:left w:val="none" w:sz="0" w:space="0" w:color="auto"/>
            <w:bottom w:val="none" w:sz="0" w:space="0" w:color="auto"/>
            <w:right w:val="none" w:sz="0" w:space="0" w:color="auto"/>
          </w:divBdr>
        </w:div>
        <w:div w:id="1556963452">
          <w:marLeft w:val="547"/>
          <w:marRight w:val="0"/>
          <w:marTop w:val="115"/>
          <w:marBottom w:val="0"/>
          <w:divBdr>
            <w:top w:val="none" w:sz="0" w:space="0" w:color="auto"/>
            <w:left w:val="none" w:sz="0" w:space="0" w:color="auto"/>
            <w:bottom w:val="none" w:sz="0" w:space="0" w:color="auto"/>
            <w:right w:val="none" w:sz="0" w:space="0" w:color="auto"/>
          </w:divBdr>
        </w:div>
      </w:divsChild>
    </w:div>
    <w:div w:id="1556963450">
      <w:marLeft w:val="0"/>
      <w:marRight w:val="0"/>
      <w:marTop w:val="0"/>
      <w:marBottom w:val="0"/>
      <w:divBdr>
        <w:top w:val="none" w:sz="0" w:space="0" w:color="auto"/>
        <w:left w:val="none" w:sz="0" w:space="0" w:color="auto"/>
        <w:bottom w:val="none" w:sz="0" w:space="0" w:color="auto"/>
        <w:right w:val="none" w:sz="0" w:space="0" w:color="auto"/>
      </w:divBdr>
      <w:divsChild>
        <w:div w:id="1556963440">
          <w:marLeft w:val="806"/>
          <w:marRight w:val="0"/>
          <w:marTop w:val="115"/>
          <w:marBottom w:val="0"/>
          <w:divBdr>
            <w:top w:val="none" w:sz="0" w:space="0" w:color="auto"/>
            <w:left w:val="none" w:sz="0" w:space="0" w:color="auto"/>
            <w:bottom w:val="none" w:sz="0" w:space="0" w:color="auto"/>
            <w:right w:val="none" w:sz="0" w:space="0" w:color="auto"/>
          </w:divBdr>
        </w:div>
        <w:div w:id="1556963442">
          <w:marLeft w:val="806"/>
          <w:marRight w:val="0"/>
          <w:marTop w:val="115"/>
          <w:marBottom w:val="0"/>
          <w:divBdr>
            <w:top w:val="none" w:sz="0" w:space="0" w:color="auto"/>
            <w:left w:val="none" w:sz="0" w:space="0" w:color="auto"/>
            <w:bottom w:val="none" w:sz="0" w:space="0" w:color="auto"/>
            <w:right w:val="none" w:sz="0" w:space="0" w:color="auto"/>
          </w:divBdr>
        </w:div>
        <w:div w:id="1556963443">
          <w:marLeft w:val="806"/>
          <w:marRight w:val="0"/>
          <w:marTop w:val="115"/>
          <w:marBottom w:val="0"/>
          <w:divBdr>
            <w:top w:val="none" w:sz="0" w:space="0" w:color="auto"/>
            <w:left w:val="none" w:sz="0" w:space="0" w:color="auto"/>
            <w:bottom w:val="none" w:sz="0" w:space="0" w:color="auto"/>
            <w:right w:val="none" w:sz="0" w:space="0" w:color="auto"/>
          </w:divBdr>
        </w:div>
        <w:div w:id="1556963448">
          <w:marLeft w:val="806"/>
          <w:marRight w:val="0"/>
          <w:marTop w:val="115"/>
          <w:marBottom w:val="0"/>
          <w:divBdr>
            <w:top w:val="none" w:sz="0" w:space="0" w:color="auto"/>
            <w:left w:val="none" w:sz="0" w:space="0" w:color="auto"/>
            <w:bottom w:val="none" w:sz="0" w:space="0" w:color="auto"/>
            <w:right w:val="none" w:sz="0" w:space="0" w:color="auto"/>
          </w:divBdr>
        </w:div>
        <w:div w:id="1556963449">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0C6FD847BA64C817C065829C33C3D" ma:contentTypeVersion="0" ma:contentTypeDescription="Create a new document." ma:contentTypeScope="" ma:versionID="3d1f394c6e81ef54a6156311e78ccd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B8C9-E25C-475D-8AAB-881215243C1D}">
  <ds:schemaRefs>
    <ds:schemaRef ds:uri="http://schemas.microsoft.com/sharepoint/v3/contenttype/forms"/>
  </ds:schemaRefs>
</ds:datastoreItem>
</file>

<file path=customXml/itemProps2.xml><?xml version="1.0" encoding="utf-8"?>
<ds:datastoreItem xmlns:ds="http://schemas.openxmlformats.org/officeDocument/2006/customXml" ds:itemID="{7A216495-07BF-46D4-B43B-25BC1B59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D6D5F2-78D7-4CB8-8DA0-BC4EB328F2DA}">
  <ds:schemaRefs>
    <ds:schemaRef ds:uri="http://schemas.microsoft.com/office/2006/metadata/properties"/>
  </ds:schemaRefs>
</ds:datastoreItem>
</file>

<file path=customXml/itemProps4.xml><?xml version="1.0" encoding="utf-8"?>
<ds:datastoreItem xmlns:ds="http://schemas.openxmlformats.org/officeDocument/2006/customXml" ds:itemID="{6E3F531F-EC55-4C77-BA50-CD38F20D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NESCOT</vt:lpstr>
    </vt:vector>
  </TitlesOfParts>
  <Company>Nescot</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NESCOT</dc:title>
  <dc:subject/>
  <dc:creator>jroberts</dc:creator>
  <cp:keywords/>
  <dc:description/>
  <cp:lastModifiedBy>David Round</cp:lastModifiedBy>
  <cp:revision>18</cp:revision>
  <cp:lastPrinted>2016-03-08T12:04:00Z</cp:lastPrinted>
  <dcterms:created xsi:type="dcterms:W3CDTF">2016-06-07T14:00:00Z</dcterms:created>
  <dcterms:modified xsi:type="dcterms:W3CDTF">2016-11-24T17:36:00Z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0x0101004860C6FD847BA64C817C065829C33C3D</vt:lpwstr>
  </property>
</Properties>
</file>